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BD" w:rsidRDefault="00B20B2E" w:rsidP="00895047">
      <w:pPr>
        <w:pStyle w:val="ICMEHeading1"/>
        <w:spacing w:before="0" w:after="0" w:line="240" w:lineRule="auto"/>
        <w:rPr>
          <w:rFonts w:ascii="Arial" w:hAnsi="Arial" w:cs="Arial"/>
          <w:szCs w:val="28"/>
          <w:lang w:val="en-GB"/>
        </w:rPr>
      </w:pPr>
      <w:proofErr w:type="gramStart"/>
      <w:r w:rsidRPr="003778C4">
        <w:rPr>
          <w:rFonts w:ascii="Arial" w:hAnsi="Arial" w:cs="Arial"/>
          <w:szCs w:val="28"/>
          <w:lang w:val="en-GB"/>
        </w:rPr>
        <w:t>RESEARCHERS</w:t>
      </w:r>
      <w:r w:rsidR="004965ED" w:rsidRPr="003778C4">
        <w:rPr>
          <w:rFonts w:ascii="Arial" w:hAnsi="Arial" w:cs="Arial"/>
          <w:szCs w:val="28"/>
          <w:lang w:val="en-GB"/>
        </w:rPr>
        <w:t xml:space="preserve"> as Policy Actors?</w:t>
      </w:r>
      <w:proofErr w:type="gramEnd"/>
      <w:r w:rsidR="00EC0ABC" w:rsidRPr="003778C4">
        <w:rPr>
          <w:rFonts w:ascii="Arial" w:hAnsi="Arial" w:cs="Arial"/>
          <w:szCs w:val="28"/>
          <w:lang w:val="en-GB"/>
        </w:rPr>
        <w:t xml:space="preserve"> </w:t>
      </w:r>
      <w:r w:rsidR="004965ED" w:rsidRPr="003778C4">
        <w:rPr>
          <w:rFonts w:ascii="Arial" w:hAnsi="Arial" w:cs="Arial"/>
          <w:szCs w:val="28"/>
          <w:lang w:val="en-GB"/>
        </w:rPr>
        <w:t>Examining interaction</w:t>
      </w:r>
      <w:r w:rsidR="00EA7C6F" w:rsidRPr="003778C4">
        <w:rPr>
          <w:rFonts w:ascii="Arial" w:hAnsi="Arial" w:cs="Arial"/>
          <w:szCs w:val="28"/>
          <w:lang w:val="en-GB"/>
        </w:rPr>
        <w:t>s</w:t>
      </w:r>
      <w:r w:rsidR="004965ED" w:rsidRPr="003778C4">
        <w:rPr>
          <w:rFonts w:ascii="Arial" w:hAnsi="Arial" w:cs="Arial"/>
          <w:szCs w:val="28"/>
          <w:lang w:val="en-GB"/>
        </w:rPr>
        <w:t xml:space="preserve"> between mathematics education research and PIAAC</w:t>
      </w:r>
    </w:p>
    <w:p w:rsidR="00895047" w:rsidRPr="003778C4" w:rsidRDefault="00895047" w:rsidP="00895047">
      <w:pPr>
        <w:pStyle w:val="ICMEHeading1"/>
        <w:spacing w:before="0" w:after="0" w:line="240" w:lineRule="auto"/>
        <w:rPr>
          <w:rFonts w:ascii="Arial" w:hAnsi="Arial" w:cs="Arial"/>
          <w:szCs w:val="28"/>
          <w:lang w:val="en-GB"/>
        </w:rPr>
      </w:pPr>
    </w:p>
    <w:p w:rsidR="004965ED" w:rsidRPr="003778C4" w:rsidRDefault="004965ED" w:rsidP="00895047">
      <w:pPr>
        <w:pStyle w:val="ICMEAuthorInstitution"/>
        <w:spacing w:after="0" w:line="240" w:lineRule="auto"/>
        <w:rPr>
          <w:rFonts w:ascii="Arial" w:hAnsi="Arial" w:cs="Arial"/>
          <w:sz w:val="28"/>
          <w:vertAlign w:val="superscript"/>
          <w:lang w:val="en-GB"/>
        </w:rPr>
      </w:pPr>
      <w:r w:rsidRPr="003778C4">
        <w:rPr>
          <w:rFonts w:ascii="Arial" w:hAnsi="Arial" w:cs="Arial"/>
          <w:sz w:val="28"/>
          <w:lang w:val="en-GB"/>
        </w:rPr>
        <w:t>Jeff Evans &amp; Keiko Yasukawa</w:t>
      </w:r>
    </w:p>
    <w:p w:rsidR="00895047" w:rsidRDefault="00895047" w:rsidP="00895047">
      <w:pPr>
        <w:pStyle w:val="ICMEAuthorInstitution"/>
        <w:spacing w:after="0" w:line="240" w:lineRule="auto"/>
        <w:rPr>
          <w:rFonts w:ascii="Arial" w:hAnsi="Arial" w:cs="Arial"/>
          <w:lang w:val="en-GB"/>
        </w:rPr>
      </w:pPr>
    </w:p>
    <w:p w:rsidR="00B83216" w:rsidRDefault="00B83216" w:rsidP="00895047">
      <w:pPr>
        <w:pStyle w:val="ICMEAuthorInstitution"/>
        <w:spacing w:after="0" w:line="240" w:lineRule="auto"/>
        <w:rPr>
          <w:rFonts w:ascii="Arial" w:hAnsi="Arial" w:cs="Arial"/>
          <w:lang w:val="en-GB"/>
        </w:rPr>
      </w:pPr>
      <w:r w:rsidRPr="003778C4">
        <w:rPr>
          <w:rFonts w:ascii="Arial" w:hAnsi="Arial" w:cs="Arial"/>
          <w:lang w:val="en-GB"/>
        </w:rPr>
        <w:t xml:space="preserve">Middlesex </w:t>
      </w:r>
      <w:proofErr w:type="gramStart"/>
      <w:r w:rsidRPr="003778C4">
        <w:rPr>
          <w:rFonts w:ascii="Arial" w:hAnsi="Arial" w:cs="Arial"/>
          <w:lang w:val="en-GB"/>
        </w:rPr>
        <w:t xml:space="preserve">University </w:t>
      </w:r>
      <w:r w:rsidR="003778C4">
        <w:rPr>
          <w:rFonts w:ascii="Arial" w:hAnsi="Arial" w:cs="Arial"/>
          <w:lang w:val="en-GB"/>
        </w:rPr>
        <w:t xml:space="preserve"> </w:t>
      </w:r>
      <w:r w:rsidRPr="003778C4">
        <w:rPr>
          <w:rFonts w:ascii="Arial" w:hAnsi="Arial" w:cs="Arial"/>
          <w:lang w:val="en-GB"/>
        </w:rPr>
        <w:t>&amp;</w:t>
      </w:r>
      <w:proofErr w:type="gramEnd"/>
      <w:r w:rsidRPr="003778C4">
        <w:rPr>
          <w:rFonts w:ascii="Arial" w:hAnsi="Arial" w:cs="Arial"/>
          <w:lang w:val="en-GB"/>
        </w:rPr>
        <w:t xml:space="preserve"> </w:t>
      </w:r>
      <w:r w:rsidR="003778C4">
        <w:rPr>
          <w:rFonts w:ascii="Arial" w:hAnsi="Arial" w:cs="Arial"/>
          <w:vertAlign w:val="superscript"/>
          <w:lang w:val="en-GB"/>
        </w:rPr>
        <w:t xml:space="preserve"> </w:t>
      </w:r>
      <w:r w:rsidRPr="003778C4">
        <w:rPr>
          <w:rFonts w:ascii="Arial" w:hAnsi="Arial" w:cs="Arial"/>
          <w:lang w:val="en-GB"/>
        </w:rPr>
        <w:t>University of Technology Sydney</w:t>
      </w:r>
    </w:p>
    <w:p w:rsidR="003778C4" w:rsidRDefault="003778C4" w:rsidP="00895047">
      <w:pPr>
        <w:pStyle w:val="ICMEAuthorInstitution"/>
        <w:spacing w:after="0" w:line="240" w:lineRule="auto"/>
        <w:rPr>
          <w:rFonts w:ascii="Arial" w:hAnsi="Arial" w:cs="Arial"/>
          <w:szCs w:val="24"/>
        </w:rPr>
      </w:pPr>
      <w:proofErr w:type="spellStart"/>
      <w:r w:rsidRPr="003778C4">
        <w:rPr>
          <w:rFonts w:ascii="Arial" w:hAnsi="Arial" w:cs="Arial"/>
          <w:lang w:val="en-GB"/>
        </w:rPr>
        <w:t>J.Evans</w:t>
      </w:r>
      <w:proofErr w:type="spellEnd"/>
      <w:r>
        <w:rPr>
          <w:rFonts w:ascii="Arial" w:hAnsi="Arial" w:cs="Arial"/>
          <w:lang w:val="en-GB"/>
        </w:rPr>
        <w:t xml:space="preserve"> </w:t>
      </w:r>
      <w:r w:rsidRPr="003778C4">
        <w:rPr>
          <w:rFonts w:ascii="Arial" w:hAnsi="Arial" w:cs="Arial"/>
          <w:lang w:val="en-GB"/>
        </w:rPr>
        <w:t>@</w:t>
      </w:r>
      <w:r>
        <w:rPr>
          <w:rFonts w:ascii="Arial" w:hAnsi="Arial" w:cs="Arial"/>
          <w:lang w:val="en-GB"/>
        </w:rPr>
        <w:t xml:space="preserve"> </w:t>
      </w:r>
      <w:proofErr w:type="gramStart"/>
      <w:r w:rsidRPr="003778C4">
        <w:rPr>
          <w:rFonts w:ascii="Arial" w:hAnsi="Arial" w:cs="Arial"/>
          <w:lang w:val="en-GB"/>
        </w:rPr>
        <w:t>mdx.ac.uk</w:t>
      </w:r>
      <w:r>
        <w:rPr>
          <w:rFonts w:ascii="Arial" w:hAnsi="Arial" w:cs="Arial"/>
          <w:lang w:val="en-GB"/>
        </w:rPr>
        <w:t xml:space="preserve">  &amp;</w:t>
      </w:r>
      <w:proofErr w:type="gramEnd"/>
      <w:r>
        <w:rPr>
          <w:rFonts w:ascii="Arial" w:hAnsi="Arial" w:cs="Arial"/>
          <w:lang w:val="en-GB"/>
        </w:rPr>
        <w:t xml:space="preserve">  </w:t>
      </w:r>
      <w:proofErr w:type="spellStart"/>
      <w:r w:rsidRPr="007C1037">
        <w:rPr>
          <w:rFonts w:ascii="Arial" w:hAnsi="Arial" w:cs="Arial"/>
          <w:szCs w:val="24"/>
        </w:rPr>
        <w:t>Keiko.Yasukawa</w:t>
      </w:r>
      <w:proofErr w:type="spellEnd"/>
      <w:r>
        <w:rPr>
          <w:rFonts w:ascii="Arial" w:hAnsi="Arial" w:cs="Arial"/>
          <w:szCs w:val="24"/>
        </w:rPr>
        <w:t xml:space="preserve"> </w:t>
      </w:r>
      <w:r w:rsidRPr="007C1037">
        <w:rPr>
          <w:rFonts w:ascii="Arial" w:hAnsi="Arial" w:cs="Arial"/>
          <w:szCs w:val="24"/>
        </w:rPr>
        <w:t>@</w:t>
      </w:r>
      <w:r>
        <w:rPr>
          <w:rFonts w:ascii="Arial" w:hAnsi="Arial" w:cs="Arial"/>
          <w:szCs w:val="24"/>
        </w:rPr>
        <w:t xml:space="preserve"> </w:t>
      </w:r>
      <w:r w:rsidRPr="007C1037">
        <w:rPr>
          <w:rFonts w:ascii="Arial" w:hAnsi="Arial" w:cs="Arial"/>
          <w:szCs w:val="24"/>
        </w:rPr>
        <w:t>uts.edu.au</w:t>
      </w:r>
    </w:p>
    <w:p w:rsidR="003778C4" w:rsidRDefault="003778C4" w:rsidP="00895047">
      <w:pPr>
        <w:pStyle w:val="ICMEAuthorInstitution"/>
        <w:spacing w:after="0" w:line="240" w:lineRule="auto"/>
        <w:rPr>
          <w:rFonts w:ascii="Arial" w:hAnsi="Arial" w:cs="Arial"/>
          <w:lang w:val="en-GB"/>
        </w:rPr>
      </w:pPr>
    </w:p>
    <w:p w:rsidR="00895047" w:rsidRPr="003778C4" w:rsidRDefault="00895047" w:rsidP="00895047">
      <w:pPr>
        <w:pStyle w:val="ICMEAuthorInstitution"/>
        <w:spacing w:after="0" w:line="240" w:lineRule="auto"/>
        <w:rPr>
          <w:rFonts w:ascii="Arial" w:hAnsi="Arial" w:cs="Arial"/>
          <w:lang w:val="en-GB"/>
        </w:rPr>
      </w:pPr>
    </w:p>
    <w:p w:rsidR="0073437F" w:rsidRPr="004F74E8" w:rsidRDefault="004965ED" w:rsidP="00895047">
      <w:pPr>
        <w:pStyle w:val="ICMEAbstract"/>
        <w:spacing w:after="0" w:line="240" w:lineRule="auto"/>
        <w:ind w:left="284" w:right="284"/>
        <w:rPr>
          <w:lang w:val="en-GB"/>
        </w:rPr>
      </w:pPr>
      <w:r w:rsidRPr="004F74E8">
        <w:rPr>
          <w:lang w:val="en-GB"/>
        </w:rPr>
        <w:t xml:space="preserve">Education policy making is a fluid and political process involving various actors bringing with them different </w:t>
      </w:r>
      <w:r w:rsidR="004E1E2F" w:rsidRPr="004F74E8">
        <w:rPr>
          <w:lang w:val="en-GB"/>
        </w:rPr>
        <w:t xml:space="preserve">perspectives </w:t>
      </w:r>
      <w:r w:rsidRPr="004F74E8">
        <w:rPr>
          <w:lang w:val="en-GB"/>
        </w:rPr>
        <w:t xml:space="preserve">and ideologies. </w:t>
      </w:r>
      <w:r w:rsidR="00B20B2E" w:rsidRPr="004F74E8">
        <w:rPr>
          <w:lang w:val="en-GB"/>
        </w:rPr>
        <w:t xml:space="preserve">We ask what is a policy actor, what </w:t>
      </w:r>
      <w:r w:rsidR="00376459" w:rsidRPr="004F74E8">
        <w:rPr>
          <w:lang w:val="en-GB"/>
        </w:rPr>
        <w:t>type</w:t>
      </w:r>
      <w:r w:rsidR="00B20B2E" w:rsidRPr="004F74E8">
        <w:rPr>
          <w:lang w:val="en-GB"/>
        </w:rPr>
        <w:t>s of roles</w:t>
      </w:r>
      <w:r w:rsidR="000205CC">
        <w:rPr>
          <w:lang w:val="en-GB"/>
        </w:rPr>
        <w:t xml:space="preserve"> can be played</w:t>
      </w:r>
      <w:r w:rsidR="00B20B2E" w:rsidRPr="004F74E8">
        <w:rPr>
          <w:lang w:val="en-GB"/>
        </w:rPr>
        <w:t xml:space="preserve"> in th</w:t>
      </w:r>
      <w:r w:rsidR="00EC6F50" w:rsidRPr="004F74E8">
        <w:rPr>
          <w:lang w:val="en-GB"/>
        </w:rPr>
        <w:t>e policy</w:t>
      </w:r>
      <w:r w:rsidR="00B20B2E" w:rsidRPr="004F74E8">
        <w:rPr>
          <w:lang w:val="en-GB"/>
        </w:rPr>
        <w:t xml:space="preserve"> </w:t>
      </w:r>
      <w:r w:rsidR="00EC0ABC" w:rsidRPr="004F74E8">
        <w:rPr>
          <w:lang w:val="en-GB"/>
        </w:rPr>
        <w:t>field</w:t>
      </w:r>
      <w:r w:rsidR="00EA7C6F" w:rsidRPr="004F74E8">
        <w:rPr>
          <w:lang w:val="en-GB"/>
        </w:rPr>
        <w:t>, and what actions can be</w:t>
      </w:r>
      <w:r w:rsidR="00EA7C6F" w:rsidRPr="00FB0977">
        <w:rPr>
          <w:lang w:val="en-GB"/>
        </w:rPr>
        <w:t xml:space="preserve"> performed,</w:t>
      </w:r>
      <w:r w:rsidR="00B20B2E" w:rsidRPr="00FB0977">
        <w:rPr>
          <w:lang w:val="en-GB"/>
        </w:rPr>
        <w:t xml:space="preserve"> by researchers in areas like mathematics education</w:t>
      </w:r>
      <w:r w:rsidR="00EA7C6F" w:rsidRPr="00FB0977">
        <w:rPr>
          <w:lang w:val="en-GB"/>
        </w:rPr>
        <w:t>, and particularly adults’ mathematics education</w:t>
      </w:r>
      <w:r w:rsidR="00B20B2E" w:rsidRPr="00B71ECB">
        <w:rPr>
          <w:lang w:val="en-GB"/>
        </w:rPr>
        <w:t xml:space="preserve">. We then focus on a relatively new </w:t>
      </w:r>
      <w:r w:rsidR="00D73515">
        <w:rPr>
          <w:lang w:val="en-GB"/>
        </w:rPr>
        <w:t xml:space="preserve">part of </w:t>
      </w:r>
      <w:r w:rsidR="00B20B2E" w:rsidRPr="00B71ECB">
        <w:rPr>
          <w:lang w:val="en-GB"/>
        </w:rPr>
        <w:t>t</w:t>
      </w:r>
      <w:r w:rsidRPr="00A22085">
        <w:rPr>
          <w:lang w:val="en-GB"/>
        </w:rPr>
        <w:t>he OECD</w:t>
      </w:r>
      <w:r w:rsidR="00B20B2E" w:rsidRPr="00A22085">
        <w:rPr>
          <w:lang w:val="en-GB"/>
        </w:rPr>
        <w:t>’s portfolio, the</w:t>
      </w:r>
      <w:r w:rsidRPr="00A22085">
        <w:rPr>
          <w:lang w:val="en-GB"/>
        </w:rPr>
        <w:t xml:space="preserve"> Programme f</w:t>
      </w:r>
      <w:r w:rsidR="00C32E1A" w:rsidRPr="00A22085">
        <w:rPr>
          <w:lang w:val="en-GB"/>
        </w:rPr>
        <w:t>or</w:t>
      </w:r>
      <w:r w:rsidRPr="00A22085">
        <w:rPr>
          <w:lang w:val="en-GB"/>
        </w:rPr>
        <w:t xml:space="preserve"> International Assessment of Adult Competencies (PIAAC)</w:t>
      </w:r>
      <w:r w:rsidR="00B20B2E" w:rsidRPr="00CC0F2F">
        <w:rPr>
          <w:lang w:val="en-GB"/>
        </w:rPr>
        <w:t xml:space="preserve">. The first wave of the Survey of Adult Skills (SAS), in 2011-12 </w:t>
      </w:r>
      <w:r w:rsidR="00137489" w:rsidRPr="00CC0F2F">
        <w:rPr>
          <w:lang w:val="en-GB"/>
        </w:rPr>
        <w:t>involve</w:t>
      </w:r>
      <w:r w:rsidR="00376459" w:rsidRPr="005B5402">
        <w:rPr>
          <w:lang w:val="en-GB"/>
        </w:rPr>
        <w:t>d</w:t>
      </w:r>
      <w:r w:rsidR="00137489" w:rsidRPr="004F74E8">
        <w:rPr>
          <w:lang w:val="en-GB"/>
        </w:rPr>
        <w:t xml:space="preserve"> an assessment of adult skills in </w:t>
      </w:r>
      <w:r w:rsidR="00376459" w:rsidRPr="004F74E8">
        <w:rPr>
          <w:lang w:val="en-GB"/>
        </w:rPr>
        <w:t xml:space="preserve">Literacy, Numeracy and Problem Solving in Technology-Rich Environments in </w:t>
      </w:r>
      <w:r w:rsidR="00137489" w:rsidRPr="004F74E8">
        <w:rPr>
          <w:lang w:val="en-GB"/>
        </w:rPr>
        <w:t>24 industrialised countries. It is likely to have</w:t>
      </w:r>
      <w:r w:rsidRPr="004F74E8">
        <w:rPr>
          <w:lang w:val="en-GB"/>
        </w:rPr>
        <w:t xml:space="preserve"> significant transnational </w:t>
      </w:r>
      <w:r w:rsidR="00137489" w:rsidRPr="004F74E8">
        <w:rPr>
          <w:lang w:val="en-GB"/>
        </w:rPr>
        <w:t xml:space="preserve">influences on </w:t>
      </w:r>
      <w:r w:rsidRPr="004F74E8">
        <w:rPr>
          <w:lang w:val="en-GB"/>
        </w:rPr>
        <w:t xml:space="preserve">agenda setting </w:t>
      </w:r>
      <w:r w:rsidR="00137489" w:rsidRPr="004F74E8">
        <w:rPr>
          <w:lang w:val="en-GB"/>
        </w:rPr>
        <w:t xml:space="preserve">with respect to </w:t>
      </w:r>
      <w:r w:rsidRPr="004F74E8">
        <w:rPr>
          <w:lang w:val="en-GB"/>
        </w:rPr>
        <w:t xml:space="preserve">national lifelong learning policies in participating OECD countries. </w:t>
      </w:r>
      <w:r w:rsidR="004E1E2F" w:rsidRPr="004F74E8">
        <w:rPr>
          <w:lang w:val="en-GB"/>
        </w:rPr>
        <w:t xml:space="preserve">In this paper, we examine a selection of analyses published by </w:t>
      </w:r>
      <w:r w:rsidR="00376459" w:rsidRPr="004F74E8">
        <w:rPr>
          <w:lang w:val="en-GB"/>
        </w:rPr>
        <w:t xml:space="preserve">mathematics education </w:t>
      </w:r>
      <w:r w:rsidR="004E1E2F" w:rsidRPr="004F74E8">
        <w:rPr>
          <w:lang w:val="en-GB"/>
        </w:rPr>
        <w:t xml:space="preserve">researchers to investigate whether, </w:t>
      </w:r>
      <w:r w:rsidR="00576426" w:rsidRPr="004F74E8">
        <w:rPr>
          <w:lang w:val="en-GB"/>
        </w:rPr>
        <w:t xml:space="preserve">and in </w:t>
      </w:r>
      <w:r w:rsidR="004E1E2F" w:rsidRPr="004F74E8">
        <w:rPr>
          <w:lang w:val="en-GB"/>
        </w:rPr>
        <w:t>what ways</w:t>
      </w:r>
      <w:r w:rsidR="00576426" w:rsidRPr="004F74E8">
        <w:rPr>
          <w:lang w:val="en-GB"/>
        </w:rPr>
        <w:t>,</w:t>
      </w:r>
      <w:r w:rsidR="004E1E2F" w:rsidRPr="004F74E8">
        <w:rPr>
          <w:lang w:val="en-GB"/>
        </w:rPr>
        <w:t xml:space="preserve"> </w:t>
      </w:r>
      <w:r w:rsidR="00376459" w:rsidRPr="004F74E8">
        <w:rPr>
          <w:lang w:val="en-GB"/>
        </w:rPr>
        <w:t xml:space="preserve">such </w:t>
      </w:r>
      <w:r w:rsidR="004E1E2F" w:rsidRPr="004F74E8">
        <w:rPr>
          <w:lang w:val="en-GB"/>
        </w:rPr>
        <w:t>researchers are interacting with the PIAAC agenda</w:t>
      </w:r>
      <w:r w:rsidR="005F5726" w:rsidRPr="004F74E8">
        <w:rPr>
          <w:lang w:val="en-GB"/>
        </w:rPr>
        <w:t>.</w:t>
      </w:r>
    </w:p>
    <w:p w:rsidR="001D1722" w:rsidRDefault="001D1722" w:rsidP="00895047">
      <w:pPr>
        <w:pStyle w:val="ICMEHeading2"/>
        <w:spacing w:before="0" w:after="0" w:line="240" w:lineRule="auto"/>
        <w:rPr>
          <w:lang w:val="en-GB"/>
        </w:rPr>
      </w:pPr>
    </w:p>
    <w:p w:rsidR="00895047" w:rsidRDefault="00895047" w:rsidP="00895047">
      <w:pPr>
        <w:pStyle w:val="ICMEHeading2"/>
        <w:spacing w:before="0" w:after="0" w:line="240" w:lineRule="auto"/>
        <w:rPr>
          <w:lang w:val="en-GB"/>
        </w:rPr>
      </w:pPr>
    </w:p>
    <w:p w:rsidR="005F5726" w:rsidRPr="004F74E8" w:rsidRDefault="005F5726" w:rsidP="00895047">
      <w:pPr>
        <w:pStyle w:val="ICMEHeading2"/>
        <w:spacing w:before="0" w:after="0" w:line="240" w:lineRule="auto"/>
        <w:rPr>
          <w:lang w:val="en-GB"/>
        </w:rPr>
      </w:pPr>
      <w:r w:rsidRPr="004F74E8">
        <w:rPr>
          <w:lang w:val="en-GB"/>
        </w:rPr>
        <w:t>Introduction</w:t>
      </w:r>
    </w:p>
    <w:p w:rsidR="00171534" w:rsidRDefault="00171534" w:rsidP="00895047">
      <w:pPr>
        <w:pStyle w:val="ICMENormal"/>
        <w:spacing w:after="0" w:line="240" w:lineRule="auto"/>
        <w:rPr>
          <w:rFonts w:cs="Times New Roman"/>
          <w:szCs w:val="24"/>
          <w:lang w:val="en-GB"/>
        </w:rPr>
      </w:pPr>
      <w:r w:rsidRPr="003778C4">
        <w:rPr>
          <w:rFonts w:cs="Times New Roman"/>
          <w:szCs w:val="24"/>
          <w:lang w:val="en-GB"/>
        </w:rPr>
        <w:t>Recently, there has been a s</w:t>
      </w:r>
      <w:r w:rsidR="00942584" w:rsidRPr="003778C4">
        <w:rPr>
          <w:rFonts w:cs="Times New Roman"/>
          <w:szCs w:val="24"/>
          <w:lang w:val="en-GB"/>
        </w:rPr>
        <w:t xml:space="preserve">ubstantial </w:t>
      </w:r>
      <w:r w:rsidRPr="003778C4">
        <w:rPr>
          <w:rFonts w:cs="Times New Roman"/>
          <w:szCs w:val="24"/>
          <w:lang w:val="en-GB"/>
        </w:rPr>
        <w:t xml:space="preserve">growth in critical policy studies in education. One of a number of factors promoting this change has been the growth in prominence of international surveys such as </w:t>
      </w:r>
      <w:r w:rsidR="000205CC" w:rsidRPr="003778C4">
        <w:rPr>
          <w:rFonts w:cs="Times New Roman"/>
          <w:szCs w:val="24"/>
          <w:lang w:val="en-GB"/>
        </w:rPr>
        <w:t>Programme for International Student Assessment (</w:t>
      </w:r>
      <w:r w:rsidRPr="003778C4">
        <w:rPr>
          <w:rFonts w:cs="Times New Roman"/>
          <w:szCs w:val="24"/>
          <w:lang w:val="en-GB"/>
        </w:rPr>
        <w:t>PISA</w:t>
      </w:r>
      <w:r w:rsidR="000205CC" w:rsidRPr="003778C4">
        <w:rPr>
          <w:rFonts w:cs="Times New Roman"/>
          <w:szCs w:val="24"/>
          <w:lang w:val="en-GB"/>
        </w:rPr>
        <w:t>)</w:t>
      </w:r>
      <w:r w:rsidRPr="003778C4">
        <w:rPr>
          <w:rFonts w:cs="Times New Roman"/>
          <w:szCs w:val="24"/>
          <w:lang w:val="en-GB"/>
        </w:rPr>
        <w:t xml:space="preserve"> and </w:t>
      </w:r>
      <w:r w:rsidR="000205CC" w:rsidRPr="003778C4">
        <w:rPr>
          <w:rFonts w:cs="Times New Roman"/>
          <w:szCs w:val="24"/>
          <w:lang w:val="en-GB"/>
        </w:rPr>
        <w:t xml:space="preserve">Programme </w:t>
      </w:r>
      <w:r w:rsidR="00D73515" w:rsidRPr="003778C4">
        <w:rPr>
          <w:rFonts w:cs="Times New Roman"/>
          <w:szCs w:val="24"/>
          <w:lang w:val="en-GB"/>
        </w:rPr>
        <w:t>f</w:t>
      </w:r>
      <w:r w:rsidR="000205CC" w:rsidRPr="003778C4">
        <w:rPr>
          <w:rFonts w:cs="Times New Roman"/>
          <w:szCs w:val="24"/>
          <w:lang w:val="en-GB"/>
        </w:rPr>
        <w:t>o</w:t>
      </w:r>
      <w:r w:rsidR="00D73515" w:rsidRPr="003778C4">
        <w:rPr>
          <w:rFonts w:cs="Times New Roman"/>
          <w:szCs w:val="24"/>
          <w:lang w:val="en-GB"/>
        </w:rPr>
        <w:t>r</w:t>
      </w:r>
      <w:r w:rsidR="000205CC" w:rsidRPr="003778C4">
        <w:rPr>
          <w:rFonts w:cs="Times New Roman"/>
          <w:szCs w:val="24"/>
          <w:lang w:val="en-GB"/>
        </w:rPr>
        <w:t xml:space="preserve"> International Assessment of Adult Competencies (</w:t>
      </w:r>
      <w:r w:rsidRPr="003778C4">
        <w:rPr>
          <w:rFonts w:cs="Times New Roman"/>
          <w:szCs w:val="24"/>
          <w:lang w:val="en-GB"/>
        </w:rPr>
        <w:t>PIAAC</w:t>
      </w:r>
      <w:r w:rsidR="000205CC" w:rsidRPr="003778C4">
        <w:rPr>
          <w:rFonts w:cs="Times New Roman"/>
          <w:szCs w:val="24"/>
          <w:lang w:val="en-GB"/>
        </w:rPr>
        <w:t>)</w:t>
      </w:r>
      <w:r w:rsidR="00EA7C6F" w:rsidRPr="003778C4">
        <w:rPr>
          <w:rFonts w:cs="Times New Roman"/>
          <w:szCs w:val="24"/>
          <w:lang w:val="en-GB"/>
        </w:rPr>
        <w:t xml:space="preserve">, which clearly have as their main purpose to influence </w:t>
      </w:r>
      <w:r w:rsidR="000205CC" w:rsidRPr="003778C4">
        <w:rPr>
          <w:rFonts w:cs="Times New Roman"/>
          <w:szCs w:val="24"/>
          <w:lang w:val="en-GB"/>
        </w:rPr>
        <w:t xml:space="preserve">national </w:t>
      </w:r>
      <w:r w:rsidR="00EA7C6F" w:rsidRPr="003778C4">
        <w:rPr>
          <w:rFonts w:cs="Times New Roman"/>
          <w:szCs w:val="24"/>
          <w:lang w:val="en-GB"/>
        </w:rPr>
        <w:t>policy</w:t>
      </w:r>
      <w:r w:rsidR="00A22085" w:rsidRPr="003778C4">
        <w:rPr>
          <w:rFonts w:cs="Times New Roman"/>
          <w:szCs w:val="24"/>
          <w:lang w:val="en-GB"/>
        </w:rPr>
        <w:t xml:space="preserve"> in education and training</w:t>
      </w:r>
      <w:r w:rsidR="001240A5" w:rsidRPr="003778C4">
        <w:rPr>
          <w:rFonts w:cs="Times New Roman"/>
          <w:szCs w:val="24"/>
          <w:lang w:val="en-GB"/>
        </w:rPr>
        <w:t>.</w:t>
      </w:r>
      <w:r w:rsidRPr="003778C4">
        <w:rPr>
          <w:rFonts w:cs="Times New Roman"/>
          <w:szCs w:val="24"/>
          <w:lang w:val="en-GB"/>
        </w:rPr>
        <w:t xml:space="preserve"> One of the focuses of such policy research has been on the role of transnational organization</w:t>
      </w:r>
      <w:r w:rsidR="00185530" w:rsidRPr="003778C4">
        <w:rPr>
          <w:rFonts w:cs="Times New Roman"/>
          <w:szCs w:val="24"/>
          <w:lang w:val="en-GB"/>
        </w:rPr>
        <w:t>s</w:t>
      </w:r>
      <w:r w:rsidRPr="003778C4">
        <w:rPr>
          <w:rFonts w:cs="Times New Roman"/>
          <w:szCs w:val="24"/>
          <w:lang w:val="en-GB"/>
        </w:rPr>
        <w:t xml:space="preserve"> such as the OECD and the European Union in setting the agenda for national education policies (see for example Hamilton, Maddox &amp; </w:t>
      </w:r>
      <w:proofErr w:type="spellStart"/>
      <w:r w:rsidRPr="003778C4">
        <w:rPr>
          <w:rFonts w:cs="Times New Roman"/>
          <w:szCs w:val="24"/>
          <w:lang w:val="en-GB"/>
        </w:rPr>
        <w:t>Addey</w:t>
      </w:r>
      <w:proofErr w:type="spellEnd"/>
      <w:r w:rsidRPr="003778C4">
        <w:rPr>
          <w:rFonts w:cs="Times New Roman"/>
          <w:szCs w:val="24"/>
          <w:lang w:val="en-GB"/>
        </w:rPr>
        <w:t xml:space="preserve">, 2015; Meyer &amp; </w:t>
      </w:r>
      <w:proofErr w:type="spellStart"/>
      <w:r w:rsidRPr="003778C4">
        <w:rPr>
          <w:rFonts w:cs="Times New Roman"/>
          <w:szCs w:val="24"/>
          <w:lang w:val="en-GB"/>
        </w:rPr>
        <w:t>Benavot</w:t>
      </w:r>
      <w:proofErr w:type="spellEnd"/>
      <w:r w:rsidRPr="003778C4">
        <w:rPr>
          <w:rFonts w:cs="Times New Roman"/>
          <w:szCs w:val="24"/>
          <w:lang w:val="en-GB"/>
        </w:rPr>
        <w:t xml:space="preserve">, 2013). </w:t>
      </w:r>
      <w:r w:rsidR="00942584" w:rsidRPr="003778C4">
        <w:rPr>
          <w:rFonts w:cs="Times New Roman"/>
          <w:szCs w:val="24"/>
          <w:lang w:val="en-GB"/>
        </w:rPr>
        <w:t xml:space="preserve">Besides </w:t>
      </w:r>
      <w:r w:rsidRPr="003778C4">
        <w:rPr>
          <w:rFonts w:cs="Times New Roman"/>
          <w:szCs w:val="24"/>
          <w:lang w:val="en-GB"/>
        </w:rPr>
        <w:t>uncover</w:t>
      </w:r>
      <w:r w:rsidR="00942584" w:rsidRPr="003778C4">
        <w:rPr>
          <w:rFonts w:cs="Times New Roman"/>
          <w:szCs w:val="24"/>
          <w:lang w:val="en-GB"/>
        </w:rPr>
        <w:t>ing</w:t>
      </w:r>
      <w:r w:rsidRPr="003778C4">
        <w:rPr>
          <w:rFonts w:cs="Times New Roman"/>
          <w:szCs w:val="24"/>
          <w:lang w:val="en-GB"/>
        </w:rPr>
        <w:t xml:space="preserve"> the economistic agendas being transferred </w:t>
      </w:r>
      <w:r w:rsidR="00EA7C6F" w:rsidRPr="003778C4">
        <w:rPr>
          <w:rFonts w:cs="Times New Roman"/>
          <w:szCs w:val="24"/>
          <w:lang w:val="en-GB"/>
        </w:rPr>
        <w:t xml:space="preserve">across </w:t>
      </w:r>
      <w:r w:rsidRPr="003778C4">
        <w:rPr>
          <w:rFonts w:cs="Times New Roman"/>
          <w:szCs w:val="24"/>
          <w:lang w:val="en-GB"/>
        </w:rPr>
        <w:t>nation</w:t>
      </w:r>
      <w:r w:rsidR="00EA7C6F" w:rsidRPr="003778C4">
        <w:rPr>
          <w:rFonts w:cs="Times New Roman"/>
          <w:szCs w:val="24"/>
          <w:lang w:val="en-GB"/>
        </w:rPr>
        <w:t>s</w:t>
      </w:r>
      <w:r w:rsidRPr="003778C4">
        <w:rPr>
          <w:rFonts w:cs="Times New Roman"/>
          <w:szCs w:val="24"/>
          <w:lang w:val="en-GB"/>
        </w:rPr>
        <w:t xml:space="preserve"> through participation in these assessment surveys</w:t>
      </w:r>
      <w:r w:rsidR="00EA7C6F" w:rsidRPr="003778C4">
        <w:rPr>
          <w:rFonts w:cs="Times New Roman"/>
          <w:szCs w:val="24"/>
          <w:lang w:val="en-GB"/>
        </w:rPr>
        <w:t xml:space="preserve"> (Yasukawa &amp; Black, 2016)</w:t>
      </w:r>
      <w:r w:rsidRPr="003778C4">
        <w:rPr>
          <w:rFonts w:cs="Times New Roman"/>
          <w:szCs w:val="24"/>
          <w:lang w:val="en-GB"/>
        </w:rPr>
        <w:t>, the</w:t>
      </w:r>
      <w:r w:rsidR="009861DE" w:rsidRPr="003778C4">
        <w:rPr>
          <w:rFonts w:cs="Times New Roman"/>
          <w:szCs w:val="24"/>
          <w:lang w:val="en-GB"/>
        </w:rPr>
        <w:t>se studies</w:t>
      </w:r>
      <w:r w:rsidRPr="003778C4">
        <w:rPr>
          <w:rFonts w:cs="Times New Roman"/>
          <w:szCs w:val="24"/>
          <w:lang w:val="en-GB"/>
        </w:rPr>
        <w:t xml:space="preserve"> also illustrate what kinds of research is taken notice of by policy makers.</w:t>
      </w:r>
    </w:p>
    <w:p w:rsidR="00895047" w:rsidRPr="003778C4" w:rsidRDefault="00895047" w:rsidP="00895047">
      <w:pPr>
        <w:pStyle w:val="ICMENormal"/>
        <w:spacing w:after="0" w:line="240" w:lineRule="auto"/>
        <w:rPr>
          <w:rFonts w:cs="Times New Roman"/>
          <w:szCs w:val="24"/>
          <w:lang w:val="en-GB"/>
        </w:rPr>
      </w:pPr>
    </w:p>
    <w:p w:rsidR="005F5726" w:rsidRDefault="005F5726" w:rsidP="00895047">
      <w:pPr>
        <w:pStyle w:val="ICMENormal"/>
        <w:spacing w:after="0" w:line="240" w:lineRule="auto"/>
        <w:rPr>
          <w:rFonts w:cs="Times New Roman"/>
          <w:szCs w:val="24"/>
          <w:lang w:val="en-GB"/>
        </w:rPr>
      </w:pPr>
      <w:r w:rsidRPr="003778C4">
        <w:rPr>
          <w:rFonts w:cs="Times New Roman"/>
          <w:szCs w:val="24"/>
          <w:lang w:val="en-GB"/>
        </w:rPr>
        <w:t xml:space="preserve">In October 2013, the OECD published the first results of the Survey of Adult Skills (SAS), the first initiative of their PIAAC. </w:t>
      </w:r>
      <w:r w:rsidR="00CB7711" w:rsidRPr="003778C4">
        <w:rPr>
          <w:rFonts w:cs="Times New Roman"/>
          <w:szCs w:val="24"/>
          <w:lang w:val="en-GB"/>
        </w:rPr>
        <w:t xml:space="preserve">Twenty-four </w:t>
      </w:r>
      <w:r w:rsidRPr="003778C4">
        <w:rPr>
          <w:rFonts w:cs="Times New Roman"/>
          <w:szCs w:val="24"/>
          <w:lang w:val="en-GB"/>
        </w:rPr>
        <w:t xml:space="preserve">countries participated in this first wave of assessment of adults’ proficiencies in Literacy, Numeracy and Problem-Solving in Technology Rich Environments (PSTRE). </w:t>
      </w:r>
      <w:r w:rsidR="00A411BD" w:rsidRPr="003778C4">
        <w:rPr>
          <w:rFonts w:cs="Times New Roman"/>
          <w:szCs w:val="24"/>
          <w:lang w:val="en-GB"/>
        </w:rPr>
        <w:t xml:space="preserve">In all of the participating countries, at least </w:t>
      </w:r>
      <w:r w:rsidR="00BB483D" w:rsidRPr="003778C4">
        <w:rPr>
          <w:rFonts w:cs="Times New Roman"/>
          <w:szCs w:val="24"/>
          <w:lang w:val="en-GB"/>
        </w:rPr>
        <w:t>4</w:t>
      </w:r>
      <w:r w:rsidR="00A411BD" w:rsidRPr="003778C4">
        <w:rPr>
          <w:rFonts w:cs="Times New Roman"/>
          <w:szCs w:val="24"/>
          <w:lang w:val="en-GB"/>
        </w:rPr>
        <w:t xml:space="preserve">500 adults, aged between 16 and 65 were surveyed. As </w:t>
      </w:r>
      <w:r w:rsidR="00CB7711" w:rsidRPr="003778C4">
        <w:rPr>
          <w:rFonts w:cs="Times New Roman"/>
          <w:szCs w:val="24"/>
          <w:lang w:val="en-GB"/>
        </w:rPr>
        <w:t xml:space="preserve">is </w:t>
      </w:r>
      <w:r w:rsidR="00A411BD" w:rsidRPr="003778C4">
        <w:rPr>
          <w:rFonts w:cs="Times New Roman"/>
          <w:szCs w:val="24"/>
          <w:lang w:val="en-GB"/>
        </w:rPr>
        <w:t>now familiar when the PISA results are released, international league tables were published by the OECD and reproduced in national media following the release of the PIAAC SAS results.</w:t>
      </w:r>
    </w:p>
    <w:p w:rsidR="00895047" w:rsidRPr="003778C4" w:rsidRDefault="00895047" w:rsidP="00895047">
      <w:pPr>
        <w:pStyle w:val="ICMENormal"/>
        <w:spacing w:after="0" w:line="240" w:lineRule="auto"/>
        <w:rPr>
          <w:rFonts w:cs="Times New Roman"/>
          <w:szCs w:val="24"/>
          <w:lang w:val="en-GB"/>
        </w:rPr>
      </w:pPr>
    </w:p>
    <w:p w:rsidR="00A10BE0" w:rsidRDefault="00F23A51" w:rsidP="00895047">
      <w:pPr>
        <w:pStyle w:val="ICMENormal"/>
        <w:spacing w:after="0" w:line="240" w:lineRule="auto"/>
        <w:rPr>
          <w:rFonts w:cs="Times New Roman"/>
          <w:szCs w:val="24"/>
          <w:lang w:val="en-GB"/>
        </w:rPr>
      </w:pPr>
      <w:r w:rsidRPr="003778C4">
        <w:rPr>
          <w:rFonts w:cs="Times New Roman"/>
          <w:szCs w:val="24"/>
          <w:lang w:val="en-GB"/>
        </w:rPr>
        <w:t xml:space="preserve">The </w:t>
      </w:r>
      <w:r w:rsidR="00C97859" w:rsidRPr="003778C4">
        <w:rPr>
          <w:rFonts w:cs="Times New Roman"/>
          <w:szCs w:val="24"/>
          <w:lang w:val="en-GB"/>
        </w:rPr>
        <w:t>OECD</w:t>
      </w:r>
      <w:r w:rsidRPr="003778C4">
        <w:rPr>
          <w:rFonts w:cs="Times New Roman"/>
          <w:szCs w:val="24"/>
          <w:lang w:val="en-GB"/>
        </w:rPr>
        <w:t xml:space="preserve">, in collaboration with other transnational organisations such as the </w:t>
      </w:r>
      <w:r w:rsidR="00C97859" w:rsidRPr="003778C4">
        <w:rPr>
          <w:rFonts w:cs="Times New Roman"/>
          <w:szCs w:val="24"/>
          <w:lang w:val="en-GB"/>
        </w:rPr>
        <w:t>EU, has construct</w:t>
      </w:r>
      <w:r w:rsidRPr="003778C4">
        <w:rPr>
          <w:rFonts w:cs="Times New Roman"/>
          <w:szCs w:val="24"/>
          <w:lang w:val="en-GB"/>
        </w:rPr>
        <w:t xml:space="preserve">ed and promoted the </w:t>
      </w:r>
      <w:r w:rsidR="00A10BE0" w:rsidRPr="003778C4">
        <w:rPr>
          <w:rFonts w:cs="Times New Roman"/>
          <w:szCs w:val="24"/>
          <w:lang w:val="en-GB"/>
        </w:rPr>
        <w:t>‘</w:t>
      </w:r>
      <w:r w:rsidR="00C97859" w:rsidRPr="003778C4">
        <w:rPr>
          <w:rFonts w:cs="Times New Roman"/>
          <w:szCs w:val="24"/>
          <w:lang w:val="en-GB"/>
        </w:rPr>
        <w:t>skills and competencies agenda</w:t>
      </w:r>
      <w:r w:rsidR="00AF153C" w:rsidRPr="003778C4">
        <w:rPr>
          <w:rFonts w:cs="Times New Roman"/>
          <w:szCs w:val="24"/>
          <w:lang w:val="en-GB"/>
        </w:rPr>
        <w:t xml:space="preserve">’ </w:t>
      </w:r>
      <w:r w:rsidR="00C97859" w:rsidRPr="003778C4">
        <w:rPr>
          <w:rFonts w:cs="Times New Roman"/>
          <w:szCs w:val="24"/>
          <w:lang w:val="en-GB"/>
        </w:rPr>
        <w:t>in all sectors of education and training.</w:t>
      </w:r>
      <w:r w:rsidR="004C1ED6" w:rsidRPr="003778C4">
        <w:rPr>
          <w:rFonts w:cs="Times New Roman"/>
          <w:szCs w:val="24"/>
          <w:lang w:val="en-GB"/>
        </w:rPr>
        <w:t xml:space="preserve"> This means a focus on the ability to use skills in practical situations, </w:t>
      </w:r>
      <w:r w:rsidR="00BB44FE" w:rsidRPr="003778C4">
        <w:rPr>
          <w:rFonts w:cs="Times New Roman"/>
          <w:szCs w:val="24"/>
          <w:lang w:val="en-GB"/>
        </w:rPr>
        <w:t>as distinct from possessing</w:t>
      </w:r>
      <w:r w:rsidR="004C1ED6" w:rsidRPr="003778C4">
        <w:rPr>
          <w:rFonts w:cs="Times New Roman"/>
          <w:szCs w:val="24"/>
          <w:lang w:val="en-GB"/>
        </w:rPr>
        <w:t xml:space="preserve"> formal qualifications in subjects that are assumed to produce skills. </w:t>
      </w:r>
      <w:r w:rsidR="00C97859" w:rsidRPr="003778C4">
        <w:rPr>
          <w:rFonts w:cs="Times New Roman"/>
          <w:szCs w:val="24"/>
          <w:lang w:val="en-GB"/>
        </w:rPr>
        <w:t xml:space="preserve">More </w:t>
      </w:r>
      <w:r w:rsidR="00C97859" w:rsidRPr="003778C4">
        <w:rPr>
          <w:rFonts w:cs="Times New Roman"/>
          <w:szCs w:val="24"/>
          <w:lang w:val="en-GB"/>
        </w:rPr>
        <w:lastRenderedPageBreak/>
        <w:t xml:space="preserve">generally, the OECD and </w:t>
      </w:r>
      <w:r w:rsidRPr="003778C4">
        <w:rPr>
          <w:rFonts w:cs="Times New Roman"/>
          <w:szCs w:val="24"/>
          <w:lang w:val="en-GB"/>
        </w:rPr>
        <w:t>o</w:t>
      </w:r>
      <w:r w:rsidR="00C97859" w:rsidRPr="003778C4">
        <w:rPr>
          <w:rFonts w:cs="Times New Roman"/>
          <w:szCs w:val="24"/>
          <w:lang w:val="en-GB"/>
        </w:rPr>
        <w:t>the</w:t>
      </w:r>
      <w:r w:rsidRPr="003778C4">
        <w:rPr>
          <w:rFonts w:cs="Times New Roman"/>
          <w:szCs w:val="24"/>
          <w:lang w:val="en-GB"/>
        </w:rPr>
        <w:t>rs</w:t>
      </w:r>
      <w:r w:rsidR="00C97859" w:rsidRPr="003778C4">
        <w:rPr>
          <w:rFonts w:cs="Times New Roman"/>
          <w:szCs w:val="24"/>
          <w:lang w:val="en-GB"/>
        </w:rPr>
        <w:t xml:space="preserve"> are disseminating ideas and practices </w:t>
      </w:r>
      <w:r w:rsidRPr="003778C4">
        <w:rPr>
          <w:rFonts w:cs="Times New Roman"/>
          <w:szCs w:val="24"/>
          <w:lang w:val="en-GB"/>
        </w:rPr>
        <w:t xml:space="preserve">aimed at </w:t>
      </w:r>
      <w:r w:rsidR="00C97859" w:rsidRPr="003778C4">
        <w:rPr>
          <w:rFonts w:cs="Times New Roman"/>
          <w:szCs w:val="24"/>
          <w:lang w:val="en-GB"/>
        </w:rPr>
        <w:t>strongly influenc</w:t>
      </w:r>
      <w:r w:rsidRPr="003778C4">
        <w:rPr>
          <w:rFonts w:cs="Times New Roman"/>
          <w:szCs w:val="24"/>
          <w:lang w:val="en-GB"/>
        </w:rPr>
        <w:t>ing</w:t>
      </w:r>
      <w:r w:rsidR="00C97859" w:rsidRPr="003778C4">
        <w:rPr>
          <w:rFonts w:cs="Times New Roman"/>
          <w:szCs w:val="24"/>
          <w:lang w:val="en-GB"/>
        </w:rPr>
        <w:t xml:space="preserve"> national polic</w:t>
      </w:r>
      <w:r w:rsidR="00A10BE0" w:rsidRPr="003778C4">
        <w:rPr>
          <w:rFonts w:cs="Times New Roman"/>
          <w:szCs w:val="24"/>
          <w:lang w:val="en-GB"/>
        </w:rPr>
        <w:t>ies</w:t>
      </w:r>
      <w:r w:rsidR="00C97859" w:rsidRPr="003778C4">
        <w:rPr>
          <w:rFonts w:cs="Times New Roman"/>
          <w:szCs w:val="24"/>
          <w:lang w:val="en-GB"/>
        </w:rPr>
        <w:t xml:space="preserve"> world</w:t>
      </w:r>
      <w:r w:rsidRPr="003778C4">
        <w:rPr>
          <w:rFonts w:cs="Times New Roman"/>
          <w:szCs w:val="24"/>
          <w:lang w:val="en-GB"/>
        </w:rPr>
        <w:t>wide, in several ways</w:t>
      </w:r>
      <w:r w:rsidR="00C97859" w:rsidRPr="003778C4">
        <w:rPr>
          <w:rFonts w:cs="Times New Roman"/>
          <w:szCs w:val="24"/>
          <w:lang w:val="en-GB"/>
        </w:rPr>
        <w:t>:</w:t>
      </w:r>
      <w:r w:rsidRPr="003778C4">
        <w:rPr>
          <w:rFonts w:cs="Times New Roman"/>
          <w:szCs w:val="24"/>
          <w:lang w:val="en-GB"/>
        </w:rPr>
        <w:t xml:space="preserve"> (</w:t>
      </w:r>
      <w:proofErr w:type="spellStart"/>
      <w:r w:rsidRPr="003778C4">
        <w:rPr>
          <w:rFonts w:cs="Times New Roman"/>
          <w:szCs w:val="24"/>
          <w:lang w:val="en-GB"/>
        </w:rPr>
        <w:t>i</w:t>
      </w:r>
      <w:proofErr w:type="spellEnd"/>
      <w:r w:rsidRPr="003778C4">
        <w:rPr>
          <w:rFonts w:cs="Times New Roman"/>
          <w:szCs w:val="24"/>
          <w:lang w:val="en-GB"/>
        </w:rPr>
        <w:t xml:space="preserve">) by </w:t>
      </w:r>
      <w:r w:rsidR="00C97859" w:rsidRPr="003778C4">
        <w:rPr>
          <w:rFonts w:cs="Times New Roman"/>
          <w:szCs w:val="24"/>
          <w:lang w:val="en-GB"/>
        </w:rPr>
        <w:t xml:space="preserve">creating comparable datasets, so that countries can measure the </w:t>
      </w:r>
      <w:r w:rsidR="00C97859" w:rsidRPr="003778C4">
        <w:rPr>
          <w:rFonts w:cs="Times New Roman"/>
          <w:i/>
          <w:iCs/>
          <w:szCs w:val="24"/>
          <w:lang w:val="en-GB"/>
        </w:rPr>
        <w:t>relative</w:t>
      </w:r>
      <w:r w:rsidR="00C97859" w:rsidRPr="003778C4">
        <w:rPr>
          <w:rFonts w:cs="Times New Roman"/>
          <w:szCs w:val="24"/>
          <w:lang w:val="en-GB"/>
        </w:rPr>
        <w:t xml:space="preserve"> success of their education systems and shift policy orientations accordingly</w:t>
      </w:r>
      <w:r w:rsidRPr="003778C4">
        <w:rPr>
          <w:rFonts w:cs="Times New Roman"/>
          <w:szCs w:val="24"/>
          <w:lang w:val="en-GB"/>
        </w:rPr>
        <w:t xml:space="preserve">; (ii) </w:t>
      </w:r>
      <w:r w:rsidR="00BB44FE" w:rsidRPr="003778C4">
        <w:rPr>
          <w:rFonts w:cs="Times New Roman"/>
          <w:szCs w:val="24"/>
          <w:lang w:val="en-GB"/>
        </w:rPr>
        <w:t>there</w:t>
      </w:r>
      <w:r w:rsidRPr="003778C4">
        <w:rPr>
          <w:rFonts w:cs="Times New Roman"/>
          <w:szCs w:val="24"/>
          <w:lang w:val="en-GB"/>
        </w:rPr>
        <w:t xml:space="preserve">by promoting </w:t>
      </w:r>
      <w:r w:rsidR="00C97859" w:rsidRPr="003778C4">
        <w:rPr>
          <w:rFonts w:cs="Times New Roman"/>
          <w:szCs w:val="24"/>
          <w:lang w:val="en-GB"/>
        </w:rPr>
        <w:t xml:space="preserve"> </w:t>
      </w:r>
      <w:r w:rsidR="00AF153C" w:rsidRPr="003778C4">
        <w:rPr>
          <w:rFonts w:cs="Times New Roman"/>
          <w:szCs w:val="24"/>
          <w:lang w:val="en-GB"/>
        </w:rPr>
        <w:t>‘</w:t>
      </w:r>
      <w:r w:rsidR="00C97859" w:rsidRPr="003778C4">
        <w:rPr>
          <w:rFonts w:cs="Times New Roman"/>
          <w:szCs w:val="24"/>
          <w:lang w:val="en-GB"/>
        </w:rPr>
        <w:t>soft governance</w:t>
      </w:r>
      <w:r w:rsidR="000D2DD6" w:rsidRPr="003778C4">
        <w:rPr>
          <w:rFonts w:cs="Times New Roman"/>
          <w:szCs w:val="24"/>
          <w:lang w:val="en-GB"/>
        </w:rPr>
        <w:t>’</w:t>
      </w:r>
      <w:r w:rsidR="00C97859" w:rsidRPr="003778C4">
        <w:rPr>
          <w:rFonts w:cs="Times New Roman"/>
          <w:szCs w:val="24"/>
          <w:lang w:val="en-GB"/>
        </w:rPr>
        <w:t xml:space="preserve"> of national educational systems, </w:t>
      </w:r>
      <w:r w:rsidRPr="003778C4">
        <w:rPr>
          <w:rFonts w:cs="Times New Roman"/>
          <w:szCs w:val="24"/>
          <w:lang w:val="en-GB"/>
        </w:rPr>
        <w:t xml:space="preserve">via </w:t>
      </w:r>
      <w:r w:rsidR="00C97859" w:rsidRPr="003778C4">
        <w:rPr>
          <w:rFonts w:cs="Times New Roman"/>
          <w:szCs w:val="24"/>
          <w:lang w:val="en-GB"/>
        </w:rPr>
        <w:t xml:space="preserve">the production and dissemination of knowledge, the publication of comparative data </w:t>
      </w:r>
      <w:r w:rsidR="00A10BE0" w:rsidRPr="003778C4">
        <w:rPr>
          <w:rFonts w:cs="Times New Roman"/>
          <w:szCs w:val="24"/>
          <w:lang w:val="en-GB"/>
        </w:rPr>
        <w:t>(</w:t>
      </w:r>
      <w:r w:rsidR="00C97859" w:rsidRPr="003778C4">
        <w:rPr>
          <w:rFonts w:cs="Times New Roman"/>
          <w:szCs w:val="24"/>
          <w:lang w:val="en-GB"/>
        </w:rPr>
        <w:t>educational and social indicators</w:t>
      </w:r>
      <w:r w:rsidR="00A10BE0" w:rsidRPr="003778C4">
        <w:rPr>
          <w:rFonts w:cs="Times New Roman"/>
          <w:szCs w:val="24"/>
          <w:lang w:val="en-GB"/>
        </w:rPr>
        <w:t>)</w:t>
      </w:r>
      <w:r w:rsidR="00C97859" w:rsidRPr="003778C4">
        <w:rPr>
          <w:rFonts w:cs="Times New Roman"/>
          <w:szCs w:val="24"/>
          <w:lang w:val="en-GB"/>
        </w:rPr>
        <w:t>, and country and thematic reviews –</w:t>
      </w:r>
      <w:r w:rsidR="00A10BE0" w:rsidRPr="003778C4">
        <w:rPr>
          <w:rFonts w:cs="Times New Roman"/>
          <w:szCs w:val="24"/>
          <w:lang w:val="en-GB"/>
        </w:rPr>
        <w:t xml:space="preserve"> so as to ‘govern</w:t>
      </w:r>
      <w:r w:rsidR="00C97859" w:rsidRPr="003778C4">
        <w:rPr>
          <w:rFonts w:cs="Times New Roman"/>
          <w:szCs w:val="24"/>
          <w:lang w:val="en-GB"/>
        </w:rPr>
        <w:t xml:space="preserve"> by data</w:t>
      </w:r>
      <w:r w:rsidR="00AF153C" w:rsidRPr="003778C4">
        <w:rPr>
          <w:rFonts w:cs="Times New Roman"/>
          <w:szCs w:val="24"/>
          <w:lang w:val="en-GB"/>
        </w:rPr>
        <w:t>’</w:t>
      </w:r>
      <w:r w:rsidR="00A10BE0" w:rsidRPr="003778C4">
        <w:rPr>
          <w:rFonts w:cs="Times New Roman"/>
          <w:szCs w:val="24"/>
          <w:lang w:val="en-GB"/>
        </w:rPr>
        <w:t>.</w:t>
      </w:r>
      <w:r w:rsidR="00C97859" w:rsidRPr="003778C4">
        <w:rPr>
          <w:rFonts w:cs="Times New Roman"/>
          <w:szCs w:val="24"/>
          <w:lang w:val="en-GB"/>
        </w:rPr>
        <w:t xml:space="preserve"> </w:t>
      </w:r>
      <w:r w:rsidR="00BB44FE" w:rsidRPr="003778C4">
        <w:rPr>
          <w:rFonts w:cs="Times New Roman"/>
          <w:szCs w:val="24"/>
          <w:lang w:val="en-GB"/>
        </w:rPr>
        <w:t>Some critics have been concerned that, f</w:t>
      </w:r>
      <w:r w:rsidR="00C97859" w:rsidRPr="003778C4">
        <w:rPr>
          <w:rFonts w:cs="Times New Roman"/>
          <w:szCs w:val="24"/>
          <w:lang w:val="en-GB"/>
        </w:rPr>
        <w:t xml:space="preserve">ar from being simply descriptive, comparisons perform prescriptive and political functions, driving and justifying changes of an instrumental nature in many countries around the world </w:t>
      </w:r>
      <w:r w:rsidRPr="003778C4">
        <w:rPr>
          <w:rFonts w:cs="Times New Roman"/>
          <w:szCs w:val="24"/>
          <w:lang w:val="en-GB"/>
        </w:rPr>
        <w:t>(</w:t>
      </w:r>
      <w:proofErr w:type="spellStart"/>
      <w:r w:rsidR="00475209" w:rsidRPr="003778C4">
        <w:rPr>
          <w:rFonts w:cs="Times New Roman"/>
          <w:szCs w:val="24"/>
          <w:lang w:val="en-GB"/>
        </w:rPr>
        <w:t>Grek</w:t>
      </w:r>
      <w:proofErr w:type="spellEnd"/>
      <w:r w:rsidR="00475209" w:rsidRPr="003778C4">
        <w:rPr>
          <w:rFonts w:cs="Times New Roman"/>
          <w:szCs w:val="24"/>
          <w:lang w:val="en-GB"/>
        </w:rPr>
        <w:t xml:space="preserve">, 2010; </w:t>
      </w:r>
      <w:proofErr w:type="spellStart"/>
      <w:r w:rsidR="009861DE" w:rsidRPr="003778C4">
        <w:rPr>
          <w:rFonts w:cs="Times New Roman"/>
          <w:szCs w:val="24"/>
          <w:lang w:val="en-GB"/>
        </w:rPr>
        <w:t>Ozga</w:t>
      </w:r>
      <w:proofErr w:type="spellEnd"/>
      <w:r w:rsidR="009861DE" w:rsidRPr="003778C4">
        <w:rPr>
          <w:rFonts w:cs="Times New Roman"/>
          <w:szCs w:val="24"/>
          <w:lang w:val="en-GB"/>
        </w:rPr>
        <w:t>, 20</w:t>
      </w:r>
      <w:r w:rsidR="00A448BA" w:rsidRPr="003778C4">
        <w:rPr>
          <w:rFonts w:cs="Times New Roman"/>
          <w:szCs w:val="24"/>
          <w:lang w:val="en-GB"/>
        </w:rPr>
        <w:t>09</w:t>
      </w:r>
      <w:r w:rsidR="009861DE" w:rsidRPr="003778C4">
        <w:rPr>
          <w:rFonts w:cs="Times New Roman"/>
          <w:szCs w:val="24"/>
          <w:lang w:val="en-GB"/>
        </w:rPr>
        <w:t xml:space="preserve">; </w:t>
      </w:r>
      <w:proofErr w:type="spellStart"/>
      <w:r w:rsidRPr="003778C4">
        <w:rPr>
          <w:rFonts w:cs="Times New Roman"/>
          <w:szCs w:val="24"/>
          <w:lang w:val="en-GB"/>
        </w:rPr>
        <w:t>Tsatsaroni</w:t>
      </w:r>
      <w:proofErr w:type="spellEnd"/>
      <w:r w:rsidRPr="003778C4">
        <w:rPr>
          <w:rFonts w:cs="Times New Roman"/>
          <w:szCs w:val="24"/>
          <w:lang w:val="en-GB"/>
        </w:rPr>
        <w:t xml:space="preserve"> &amp; Evans, 2013).</w:t>
      </w:r>
    </w:p>
    <w:p w:rsidR="00895047" w:rsidRPr="003778C4" w:rsidRDefault="00895047" w:rsidP="00895047">
      <w:pPr>
        <w:pStyle w:val="ICMENormal"/>
        <w:spacing w:after="0" w:line="240" w:lineRule="auto"/>
        <w:rPr>
          <w:rFonts w:cs="Times New Roman"/>
          <w:szCs w:val="24"/>
          <w:lang w:val="en-GB"/>
        </w:rPr>
      </w:pPr>
    </w:p>
    <w:p w:rsidR="00237014" w:rsidRDefault="004468C1" w:rsidP="00895047">
      <w:pPr>
        <w:pStyle w:val="ICMENormal"/>
        <w:spacing w:after="0" w:line="240" w:lineRule="auto"/>
        <w:rPr>
          <w:rFonts w:cs="Times New Roman"/>
          <w:szCs w:val="24"/>
          <w:lang w:val="en-GB"/>
        </w:rPr>
      </w:pPr>
      <w:r w:rsidRPr="003778C4">
        <w:rPr>
          <w:rFonts w:cs="Times New Roman"/>
          <w:szCs w:val="24"/>
          <w:lang w:val="en-GB"/>
        </w:rPr>
        <w:t xml:space="preserve">In this paper, </w:t>
      </w:r>
      <w:r w:rsidR="00237014" w:rsidRPr="003778C4">
        <w:rPr>
          <w:rFonts w:cs="Times New Roman"/>
          <w:szCs w:val="24"/>
          <w:lang w:val="en-GB"/>
        </w:rPr>
        <w:t xml:space="preserve">using a tentative ‘taxonomy’ of positions </w:t>
      </w:r>
      <w:r w:rsidR="00EC0ABC" w:rsidRPr="003778C4">
        <w:rPr>
          <w:rFonts w:cs="Times New Roman"/>
          <w:szCs w:val="24"/>
          <w:lang w:val="en-GB"/>
        </w:rPr>
        <w:t xml:space="preserve">educational </w:t>
      </w:r>
      <w:r w:rsidR="00237014" w:rsidRPr="003778C4">
        <w:rPr>
          <w:rFonts w:cs="Times New Roman"/>
          <w:szCs w:val="24"/>
          <w:lang w:val="en-GB"/>
        </w:rPr>
        <w:t>researchers might take</w:t>
      </w:r>
      <w:r w:rsidR="00EC0ABC" w:rsidRPr="003778C4">
        <w:rPr>
          <w:rFonts w:cs="Times New Roman"/>
          <w:szCs w:val="24"/>
          <w:lang w:val="en-GB"/>
        </w:rPr>
        <w:t xml:space="preserve"> vis-à-vis a study such as PIAAC</w:t>
      </w:r>
      <w:r w:rsidR="00237014" w:rsidRPr="003778C4">
        <w:rPr>
          <w:rFonts w:cs="Times New Roman"/>
          <w:szCs w:val="24"/>
          <w:lang w:val="en-GB"/>
        </w:rPr>
        <w:t xml:space="preserve">, </w:t>
      </w:r>
      <w:r w:rsidRPr="003778C4">
        <w:rPr>
          <w:rFonts w:cs="Times New Roman"/>
          <w:szCs w:val="24"/>
          <w:lang w:val="en-GB"/>
        </w:rPr>
        <w:t xml:space="preserve">we examine how and whether </w:t>
      </w:r>
      <w:r w:rsidRPr="003778C4">
        <w:rPr>
          <w:rFonts w:cs="Times New Roman"/>
          <w:i/>
          <w:szCs w:val="24"/>
          <w:lang w:val="en-GB"/>
        </w:rPr>
        <w:t>adult</w:t>
      </w:r>
      <w:r w:rsidRPr="003778C4">
        <w:rPr>
          <w:rFonts w:cs="Times New Roman"/>
          <w:szCs w:val="24"/>
          <w:lang w:val="en-GB"/>
        </w:rPr>
        <w:t xml:space="preserve"> </w:t>
      </w:r>
      <w:r w:rsidRPr="003778C4">
        <w:rPr>
          <w:rFonts w:cs="Times New Roman"/>
          <w:i/>
          <w:szCs w:val="24"/>
          <w:lang w:val="en-GB"/>
        </w:rPr>
        <w:t xml:space="preserve">mathematics education </w:t>
      </w:r>
      <w:r w:rsidR="009861DE" w:rsidRPr="003778C4">
        <w:rPr>
          <w:rFonts w:cs="Times New Roman"/>
          <w:i/>
          <w:szCs w:val="24"/>
          <w:lang w:val="en-GB"/>
        </w:rPr>
        <w:t xml:space="preserve">researchers </w:t>
      </w:r>
      <w:r w:rsidR="009861DE" w:rsidRPr="003778C4">
        <w:rPr>
          <w:rFonts w:cs="Times New Roman"/>
          <w:szCs w:val="24"/>
          <w:lang w:val="en-GB"/>
        </w:rPr>
        <w:t>can</w:t>
      </w:r>
      <w:r w:rsidRPr="003778C4">
        <w:rPr>
          <w:rFonts w:cs="Times New Roman"/>
          <w:szCs w:val="24"/>
          <w:lang w:val="en-GB"/>
        </w:rPr>
        <w:t xml:space="preserve"> be seen as ‘policy actors’ vis-a-vis the PIAAC agenda. </w:t>
      </w:r>
      <w:r w:rsidR="00237014" w:rsidRPr="003778C4">
        <w:rPr>
          <w:rFonts w:cs="Times New Roman"/>
          <w:szCs w:val="24"/>
          <w:lang w:val="en-GB"/>
        </w:rPr>
        <w:t>This paper aims to build understanding of how different policy actors are involved (or not) in the processes of translating various policy agendas (including those of the OECD / PIAAC) into national / local education policies.</w:t>
      </w:r>
    </w:p>
    <w:p w:rsidR="00895047" w:rsidRPr="003778C4" w:rsidRDefault="00895047" w:rsidP="00895047">
      <w:pPr>
        <w:pStyle w:val="ICMENormal"/>
        <w:spacing w:after="0" w:line="240" w:lineRule="auto"/>
        <w:rPr>
          <w:rFonts w:cs="Times New Roman"/>
          <w:szCs w:val="24"/>
          <w:lang w:val="en-GB"/>
        </w:rPr>
      </w:pPr>
    </w:p>
    <w:p w:rsidR="00BA58C3" w:rsidRPr="003778C4" w:rsidRDefault="00077086" w:rsidP="00895047">
      <w:pPr>
        <w:pStyle w:val="ICMENormal"/>
        <w:spacing w:after="0" w:line="240" w:lineRule="auto"/>
        <w:rPr>
          <w:rFonts w:cs="Times New Roman"/>
          <w:szCs w:val="24"/>
          <w:lang w:val="en-GB"/>
        </w:rPr>
      </w:pPr>
      <w:r w:rsidRPr="003778C4">
        <w:rPr>
          <w:rFonts w:cs="Times New Roman"/>
          <w:szCs w:val="24"/>
          <w:lang w:val="en-GB"/>
        </w:rPr>
        <w:t>T</w:t>
      </w:r>
      <w:r w:rsidR="00EC0ABC" w:rsidRPr="003778C4">
        <w:rPr>
          <w:rFonts w:cs="Times New Roman"/>
          <w:szCs w:val="24"/>
          <w:lang w:val="en-GB"/>
        </w:rPr>
        <w:t>o do so, w</w:t>
      </w:r>
      <w:r w:rsidRPr="003778C4">
        <w:rPr>
          <w:rFonts w:cs="Times New Roman"/>
          <w:szCs w:val="24"/>
          <w:lang w:val="en-GB"/>
        </w:rPr>
        <w:t xml:space="preserve">e examine </w:t>
      </w:r>
      <w:r w:rsidR="00237014" w:rsidRPr="003778C4">
        <w:rPr>
          <w:rFonts w:cs="Times New Roman"/>
          <w:szCs w:val="24"/>
          <w:lang w:val="en-GB"/>
        </w:rPr>
        <w:t xml:space="preserve">a selection of </w:t>
      </w:r>
      <w:r w:rsidR="0061319E" w:rsidRPr="003778C4">
        <w:rPr>
          <w:rFonts w:cs="Times New Roman"/>
          <w:szCs w:val="24"/>
          <w:lang w:val="en-GB"/>
        </w:rPr>
        <w:t xml:space="preserve">academic publications </w:t>
      </w:r>
      <w:r w:rsidR="00EC0ABC" w:rsidRPr="003778C4">
        <w:rPr>
          <w:rFonts w:cs="Times New Roman"/>
          <w:szCs w:val="24"/>
          <w:lang w:val="en-GB"/>
        </w:rPr>
        <w:t>focused</w:t>
      </w:r>
      <w:r w:rsidR="0061319E" w:rsidRPr="003778C4">
        <w:rPr>
          <w:rFonts w:cs="Times New Roman"/>
          <w:szCs w:val="24"/>
          <w:lang w:val="en-GB"/>
        </w:rPr>
        <w:t xml:space="preserve"> on the </w:t>
      </w:r>
      <w:r w:rsidR="0073437F" w:rsidRPr="003778C4">
        <w:rPr>
          <w:rFonts w:cs="Times New Roman"/>
          <w:szCs w:val="24"/>
          <w:lang w:val="en-GB"/>
        </w:rPr>
        <w:t xml:space="preserve">Survey results </w:t>
      </w:r>
      <w:r w:rsidR="00BC6B92" w:rsidRPr="003778C4">
        <w:rPr>
          <w:rFonts w:cs="Times New Roman"/>
          <w:szCs w:val="24"/>
          <w:lang w:val="en-GB"/>
        </w:rPr>
        <w:t xml:space="preserve">(especially </w:t>
      </w:r>
      <w:r w:rsidR="0061319E" w:rsidRPr="003778C4">
        <w:rPr>
          <w:rFonts w:cs="Times New Roman"/>
          <w:szCs w:val="24"/>
          <w:lang w:val="en-GB"/>
        </w:rPr>
        <w:t>Numeracy</w:t>
      </w:r>
      <w:r w:rsidR="00BC6B92" w:rsidRPr="003778C4">
        <w:rPr>
          <w:rFonts w:cs="Times New Roman"/>
          <w:szCs w:val="24"/>
          <w:lang w:val="en-GB"/>
        </w:rPr>
        <w:t>)</w:t>
      </w:r>
      <w:r w:rsidR="0061319E" w:rsidRPr="003778C4">
        <w:rPr>
          <w:rFonts w:cs="Times New Roman"/>
          <w:szCs w:val="24"/>
          <w:lang w:val="en-GB"/>
        </w:rPr>
        <w:t xml:space="preserve"> in the period </w:t>
      </w:r>
      <w:r w:rsidR="00BC6B92" w:rsidRPr="003778C4">
        <w:rPr>
          <w:rFonts w:cs="Times New Roman"/>
          <w:szCs w:val="24"/>
          <w:lang w:val="en-GB"/>
        </w:rPr>
        <w:t xml:space="preserve">from </w:t>
      </w:r>
      <w:r w:rsidR="0061319E" w:rsidRPr="003778C4">
        <w:rPr>
          <w:rFonts w:cs="Times New Roman"/>
          <w:szCs w:val="24"/>
          <w:lang w:val="en-GB"/>
        </w:rPr>
        <w:t>the</w:t>
      </w:r>
      <w:r w:rsidR="00BC6B92" w:rsidRPr="003778C4">
        <w:rPr>
          <w:rFonts w:cs="Times New Roman"/>
          <w:szCs w:val="24"/>
          <w:lang w:val="en-GB"/>
        </w:rPr>
        <w:t>ir</w:t>
      </w:r>
      <w:r w:rsidR="0061319E" w:rsidRPr="003778C4">
        <w:rPr>
          <w:rFonts w:cs="Times New Roman"/>
          <w:szCs w:val="24"/>
          <w:lang w:val="en-GB"/>
        </w:rPr>
        <w:t xml:space="preserve"> release in October 2013 </w:t>
      </w:r>
      <w:r w:rsidR="00533FCA" w:rsidRPr="003778C4">
        <w:rPr>
          <w:rFonts w:cs="Times New Roman"/>
          <w:szCs w:val="24"/>
          <w:lang w:val="en-GB"/>
        </w:rPr>
        <w:t xml:space="preserve">through to </w:t>
      </w:r>
      <w:r w:rsidR="0061319E" w:rsidRPr="003778C4">
        <w:rPr>
          <w:rFonts w:cs="Times New Roman"/>
          <w:szCs w:val="24"/>
          <w:lang w:val="en-GB"/>
        </w:rPr>
        <w:t xml:space="preserve">now. </w:t>
      </w:r>
    </w:p>
    <w:p w:rsidR="001D1722" w:rsidRDefault="001D1722" w:rsidP="00895047">
      <w:pPr>
        <w:pStyle w:val="ICMEHeading2"/>
        <w:spacing w:before="0" w:after="0" w:line="240" w:lineRule="auto"/>
        <w:rPr>
          <w:rFonts w:cs="Times New Roman"/>
          <w:szCs w:val="24"/>
        </w:rPr>
      </w:pPr>
    </w:p>
    <w:p w:rsidR="009D7D10" w:rsidRPr="003778C4" w:rsidRDefault="00681165" w:rsidP="00895047">
      <w:pPr>
        <w:pStyle w:val="ICMEHeading2"/>
        <w:spacing w:before="0" w:after="0" w:line="240" w:lineRule="auto"/>
        <w:rPr>
          <w:rFonts w:cs="Times New Roman"/>
          <w:szCs w:val="24"/>
        </w:rPr>
      </w:pPr>
      <w:r w:rsidRPr="003778C4">
        <w:rPr>
          <w:rFonts w:cs="Times New Roman"/>
          <w:szCs w:val="24"/>
        </w:rPr>
        <w:t>PIAAC AS POLICY-</w:t>
      </w:r>
      <w:r w:rsidR="00827F1A" w:rsidRPr="003778C4">
        <w:rPr>
          <w:rFonts w:cs="Times New Roman"/>
          <w:szCs w:val="24"/>
        </w:rPr>
        <w:t>ORIENTED RESEARCH</w:t>
      </w:r>
    </w:p>
    <w:p w:rsidR="00827F1A" w:rsidRPr="003778C4" w:rsidRDefault="00827F1A" w:rsidP="00895047">
      <w:pPr>
        <w:pStyle w:val="ICMENormal"/>
        <w:spacing w:after="0" w:line="240" w:lineRule="auto"/>
        <w:rPr>
          <w:rFonts w:cs="Times New Roman"/>
          <w:szCs w:val="24"/>
          <w:lang w:val="en-GB"/>
        </w:rPr>
      </w:pPr>
      <w:r w:rsidRPr="003778C4">
        <w:rPr>
          <w:rFonts w:cs="Times New Roman"/>
          <w:szCs w:val="24"/>
          <w:lang w:val="en-GB"/>
        </w:rPr>
        <w:t xml:space="preserve">Towards the beginning of the Project, its wider objectives were presented by Andreas </w:t>
      </w:r>
      <w:proofErr w:type="spellStart"/>
      <w:r w:rsidRPr="003778C4">
        <w:rPr>
          <w:rFonts w:cs="Times New Roman"/>
          <w:szCs w:val="24"/>
          <w:lang w:val="en-GB"/>
        </w:rPr>
        <w:t>Schleicher</w:t>
      </w:r>
      <w:proofErr w:type="spellEnd"/>
      <w:r w:rsidRPr="003778C4">
        <w:rPr>
          <w:rFonts w:cs="Times New Roman"/>
          <w:szCs w:val="24"/>
          <w:lang w:val="en-GB"/>
        </w:rPr>
        <w:t xml:space="preserve"> (2008) of the Education Directorate at OECD – as helping the participating countries to:</w:t>
      </w:r>
    </w:p>
    <w:p w:rsidR="00827F1A" w:rsidRPr="003778C4" w:rsidRDefault="00827F1A" w:rsidP="00895047">
      <w:pPr>
        <w:pStyle w:val="ICMENormal"/>
        <w:numPr>
          <w:ilvl w:val="0"/>
          <w:numId w:val="19"/>
        </w:numPr>
        <w:spacing w:after="0" w:line="240" w:lineRule="auto"/>
        <w:rPr>
          <w:rFonts w:cs="Times New Roman"/>
          <w:szCs w:val="24"/>
          <w:lang w:val="en-GB"/>
        </w:rPr>
      </w:pPr>
      <w:r w:rsidRPr="003778C4">
        <w:rPr>
          <w:rFonts w:cs="Times New Roman"/>
          <w:szCs w:val="24"/>
          <w:lang w:val="en-GB"/>
        </w:rPr>
        <w:t xml:space="preserve">Identify and measure </w:t>
      </w:r>
      <w:r w:rsidRPr="003778C4">
        <w:rPr>
          <w:rFonts w:cs="Times New Roman"/>
          <w:i/>
          <w:szCs w:val="24"/>
          <w:lang w:val="en-GB"/>
        </w:rPr>
        <w:t>differences between individuals and across countries</w:t>
      </w:r>
      <w:r w:rsidRPr="003778C4">
        <w:rPr>
          <w:rFonts w:cs="Times New Roman"/>
          <w:szCs w:val="24"/>
          <w:lang w:val="en-GB"/>
        </w:rPr>
        <w:t xml:space="preserve"> in key “competencies” </w:t>
      </w:r>
    </w:p>
    <w:p w:rsidR="00827F1A" w:rsidRPr="003778C4" w:rsidRDefault="00827F1A" w:rsidP="00895047">
      <w:pPr>
        <w:pStyle w:val="ICMENormal"/>
        <w:numPr>
          <w:ilvl w:val="0"/>
          <w:numId w:val="19"/>
        </w:numPr>
        <w:spacing w:after="0" w:line="240" w:lineRule="auto"/>
        <w:rPr>
          <w:rFonts w:cs="Times New Roman"/>
          <w:szCs w:val="24"/>
          <w:lang w:val="en-GB"/>
        </w:rPr>
      </w:pPr>
      <w:r w:rsidRPr="003778C4">
        <w:rPr>
          <w:rFonts w:cs="Times New Roman"/>
          <w:szCs w:val="24"/>
          <w:lang w:val="en-GB"/>
        </w:rPr>
        <w:t xml:space="preserve">Relate measures of skills based on these competencies to a range of economic and social outcomes relevant to participating countries, including </w:t>
      </w:r>
      <w:r w:rsidRPr="003778C4">
        <w:rPr>
          <w:rFonts w:cs="Times New Roman"/>
          <w:i/>
          <w:szCs w:val="24"/>
          <w:lang w:val="en-GB"/>
        </w:rPr>
        <w:t>individual outcomes</w:t>
      </w:r>
      <w:r w:rsidRPr="003778C4">
        <w:rPr>
          <w:rFonts w:cs="Times New Roman"/>
          <w:szCs w:val="24"/>
          <w:lang w:val="en-GB"/>
        </w:rPr>
        <w:t xml:space="preserve"> such as labour market participation and earnings, or participation in further learning and education, and </w:t>
      </w:r>
      <w:r w:rsidRPr="003778C4">
        <w:rPr>
          <w:rFonts w:cs="Times New Roman"/>
          <w:i/>
          <w:szCs w:val="24"/>
          <w:lang w:val="en-GB"/>
        </w:rPr>
        <w:t>aggregate outcomes</w:t>
      </w:r>
      <w:r w:rsidRPr="003778C4">
        <w:rPr>
          <w:rFonts w:cs="Times New Roman"/>
          <w:szCs w:val="24"/>
          <w:lang w:val="en-GB"/>
        </w:rPr>
        <w:t xml:space="preserve"> such as economic growth, or increasing social equity in the labour market </w:t>
      </w:r>
    </w:p>
    <w:p w:rsidR="00827F1A" w:rsidRPr="003778C4" w:rsidRDefault="00827F1A" w:rsidP="00895047">
      <w:pPr>
        <w:pStyle w:val="ICMENormal"/>
        <w:numPr>
          <w:ilvl w:val="0"/>
          <w:numId w:val="19"/>
        </w:numPr>
        <w:spacing w:after="0" w:line="240" w:lineRule="auto"/>
        <w:rPr>
          <w:rFonts w:cs="Times New Roman"/>
          <w:szCs w:val="24"/>
          <w:lang w:val="en-GB"/>
        </w:rPr>
      </w:pPr>
      <w:r w:rsidRPr="003778C4">
        <w:rPr>
          <w:rFonts w:cs="Times New Roman"/>
          <w:szCs w:val="24"/>
          <w:lang w:val="en-GB"/>
        </w:rPr>
        <w:t xml:space="preserve">Assess the performance of education and training systems, and clarify </w:t>
      </w:r>
      <w:r w:rsidRPr="003778C4">
        <w:rPr>
          <w:rFonts w:cs="Times New Roman"/>
          <w:i/>
          <w:szCs w:val="24"/>
          <w:lang w:val="en-GB"/>
        </w:rPr>
        <w:t>which policy measures</w:t>
      </w:r>
      <w:r w:rsidRPr="003778C4">
        <w:rPr>
          <w:rFonts w:cs="Times New Roman"/>
          <w:szCs w:val="24"/>
          <w:lang w:val="en-GB"/>
        </w:rPr>
        <w:t xml:space="preserve"> might lead to enhancing competencies through the formal educational system – or in the work-place, through incentives addressed at the general population, etc. (pp. 2-3, italics added).</w:t>
      </w:r>
    </w:p>
    <w:p w:rsidR="00827F1A" w:rsidRDefault="00827F1A" w:rsidP="00895047">
      <w:pPr>
        <w:pStyle w:val="ICMENormal"/>
        <w:spacing w:after="0" w:line="240" w:lineRule="auto"/>
        <w:rPr>
          <w:rFonts w:cs="Times New Roman"/>
          <w:szCs w:val="24"/>
          <w:lang w:val="en-GB"/>
        </w:rPr>
      </w:pPr>
      <w:r w:rsidRPr="003778C4">
        <w:rPr>
          <w:rFonts w:cs="Times New Roman"/>
          <w:szCs w:val="24"/>
          <w:lang w:val="en-GB"/>
        </w:rPr>
        <w:t xml:space="preserve">The main focus in PIAAC is on the measurement of adult skills or ‘competencies’, the abilities to </w:t>
      </w:r>
      <w:r w:rsidRPr="003778C4">
        <w:rPr>
          <w:rFonts w:cs="Times New Roman"/>
          <w:i/>
          <w:iCs/>
          <w:szCs w:val="24"/>
          <w:lang w:val="en-GB"/>
        </w:rPr>
        <w:t>use skills in practical situations</w:t>
      </w:r>
      <w:r w:rsidRPr="003778C4">
        <w:rPr>
          <w:rFonts w:cs="Times New Roman"/>
          <w:szCs w:val="24"/>
          <w:lang w:val="en-GB"/>
        </w:rPr>
        <w:t xml:space="preserve"> – Literacy, Numeracy, and IT skills</w:t>
      </w:r>
      <w:r w:rsidR="00A22085" w:rsidRPr="003778C4">
        <w:rPr>
          <w:rFonts w:cs="Times New Roman"/>
          <w:szCs w:val="24"/>
          <w:lang w:val="en-GB"/>
        </w:rPr>
        <w:t xml:space="preserve"> (</w:t>
      </w:r>
      <w:r w:rsidRPr="003778C4">
        <w:rPr>
          <w:rFonts w:cs="Times New Roman"/>
          <w:szCs w:val="24"/>
          <w:lang w:val="en-GB"/>
        </w:rPr>
        <w:t xml:space="preserve">“PSTRE”). These are measured in the </w:t>
      </w:r>
      <w:r w:rsidR="00A22085" w:rsidRPr="003778C4">
        <w:rPr>
          <w:rFonts w:cs="Times New Roman"/>
          <w:szCs w:val="24"/>
          <w:lang w:val="en-GB"/>
        </w:rPr>
        <w:t>educational t</w:t>
      </w:r>
      <w:r w:rsidRPr="003778C4">
        <w:rPr>
          <w:rFonts w:cs="Times New Roman"/>
          <w:szCs w:val="24"/>
          <w:lang w:val="en-GB"/>
        </w:rPr>
        <w:t xml:space="preserve">esting part of an interview done in the interviewee’s home, along with a Background Questionnaire (BQ). The BQ </w:t>
      </w:r>
      <w:r w:rsidR="00B055EE" w:rsidRPr="003778C4">
        <w:rPr>
          <w:rFonts w:cs="Times New Roman"/>
          <w:szCs w:val="24"/>
          <w:lang w:val="en-GB"/>
        </w:rPr>
        <w:t>measures</w:t>
      </w:r>
      <w:r w:rsidRPr="003778C4">
        <w:rPr>
          <w:rFonts w:cs="Times New Roman"/>
          <w:szCs w:val="24"/>
          <w:lang w:val="en-GB"/>
        </w:rPr>
        <w:t xml:space="preserve"> some socially valued outcomes or ‘effects” claimed to be related to adult skills, such as </w:t>
      </w:r>
      <w:r w:rsidR="008A72EF" w:rsidRPr="003778C4">
        <w:rPr>
          <w:rFonts w:cs="Times New Roman"/>
          <w:szCs w:val="24"/>
          <w:lang w:val="en-GB"/>
        </w:rPr>
        <w:t>employment status, wages, self-rated health and “political efficacy”</w:t>
      </w:r>
      <w:r w:rsidR="00B055EE" w:rsidRPr="003778C4">
        <w:rPr>
          <w:rFonts w:cs="Times New Roman"/>
          <w:szCs w:val="24"/>
          <w:lang w:val="en-GB"/>
        </w:rPr>
        <w:t xml:space="preserve"> – and also plausible determinants of skills, such as demographic and social characteristics, and measures suggestive of potential policy tools, such as courses taken, the use of mathematics at work, and so on.</w:t>
      </w:r>
    </w:p>
    <w:p w:rsidR="00895047" w:rsidRPr="003778C4" w:rsidRDefault="00895047" w:rsidP="00895047">
      <w:pPr>
        <w:pStyle w:val="ICMENormal"/>
        <w:spacing w:after="0" w:line="240" w:lineRule="auto"/>
        <w:rPr>
          <w:rFonts w:cs="Times New Roman"/>
          <w:szCs w:val="24"/>
          <w:lang w:val="en-GB"/>
        </w:rPr>
      </w:pPr>
    </w:p>
    <w:p w:rsidR="00827F1A" w:rsidRPr="003778C4" w:rsidRDefault="00FD2FC2" w:rsidP="00895047">
      <w:pPr>
        <w:pStyle w:val="ICMENormal"/>
        <w:spacing w:after="0" w:line="240" w:lineRule="auto"/>
        <w:rPr>
          <w:rFonts w:cs="Times New Roman"/>
          <w:szCs w:val="24"/>
          <w:lang w:val="en-GB"/>
        </w:rPr>
      </w:pPr>
      <w:r w:rsidRPr="003778C4">
        <w:rPr>
          <w:rFonts w:cs="Times New Roman"/>
          <w:szCs w:val="24"/>
          <w:lang w:val="en-GB"/>
        </w:rPr>
        <w:t>The population of interest for the survey is a</w:t>
      </w:r>
      <w:r w:rsidR="00827F1A" w:rsidRPr="003778C4">
        <w:rPr>
          <w:rFonts w:cs="Times New Roman"/>
          <w:szCs w:val="24"/>
          <w:lang w:val="en-GB"/>
        </w:rPr>
        <w:t xml:space="preserve">dults 16-65 </w:t>
      </w:r>
      <w:r w:rsidRPr="003778C4">
        <w:rPr>
          <w:rFonts w:cs="Times New Roman"/>
          <w:szCs w:val="24"/>
          <w:lang w:val="en-GB"/>
        </w:rPr>
        <w:t>in the countries studied, with the test items and the BQ questions, administered via a PC by default, though provision is made for adults not comfortable with computers to complete a pencil-and-paper test.</w:t>
      </w:r>
      <w:r w:rsidR="00827F1A" w:rsidRPr="003778C4">
        <w:rPr>
          <w:rFonts w:cs="Times New Roman"/>
          <w:szCs w:val="24"/>
          <w:lang w:val="en-GB"/>
        </w:rPr>
        <w:t xml:space="preserve"> Round 1 </w:t>
      </w:r>
      <w:r w:rsidRPr="003778C4">
        <w:rPr>
          <w:rFonts w:cs="Times New Roman"/>
          <w:szCs w:val="24"/>
          <w:lang w:val="en-GB"/>
        </w:rPr>
        <w:t xml:space="preserve">of PIAAC </w:t>
      </w:r>
      <w:r w:rsidR="00827F1A" w:rsidRPr="003778C4">
        <w:rPr>
          <w:rFonts w:cs="Times New Roman"/>
          <w:szCs w:val="24"/>
          <w:lang w:val="en-GB"/>
        </w:rPr>
        <w:t>(</w:t>
      </w:r>
      <w:r w:rsidRPr="003778C4">
        <w:rPr>
          <w:rFonts w:cs="Times New Roman"/>
          <w:szCs w:val="24"/>
          <w:lang w:val="en-GB"/>
        </w:rPr>
        <w:t>in 2011-12) included</w:t>
      </w:r>
      <w:r w:rsidR="00827F1A" w:rsidRPr="003778C4">
        <w:rPr>
          <w:rFonts w:cs="Times New Roman"/>
          <w:szCs w:val="24"/>
          <w:lang w:val="en-GB"/>
        </w:rPr>
        <w:t xml:space="preserve"> 24 “industrialised” countries</w:t>
      </w:r>
      <w:r w:rsidRPr="003778C4">
        <w:rPr>
          <w:rFonts w:cs="Times New Roman"/>
          <w:szCs w:val="24"/>
          <w:lang w:val="en-GB"/>
        </w:rPr>
        <w:t xml:space="preserve"> (</w:t>
      </w:r>
      <w:r w:rsidR="00827F1A" w:rsidRPr="003778C4">
        <w:rPr>
          <w:rFonts w:cs="Times New Roman"/>
          <w:szCs w:val="24"/>
          <w:lang w:val="en-GB"/>
        </w:rPr>
        <w:t xml:space="preserve">17 EU, USA, </w:t>
      </w:r>
      <w:r w:rsidRPr="003778C4">
        <w:rPr>
          <w:rFonts w:cs="Times New Roman"/>
          <w:szCs w:val="24"/>
          <w:lang w:val="en-GB"/>
        </w:rPr>
        <w:t>Canada,</w:t>
      </w:r>
      <w:r w:rsidR="00827F1A" w:rsidRPr="003778C4">
        <w:rPr>
          <w:rFonts w:cs="Times New Roman"/>
          <w:szCs w:val="24"/>
          <w:lang w:val="en-GB"/>
        </w:rPr>
        <w:t xml:space="preserve"> Australia, Japan, Korea</w:t>
      </w:r>
      <w:r w:rsidRPr="003778C4">
        <w:rPr>
          <w:rFonts w:cs="Times New Roman"/>
          <w:szCs w:val="24"/>
          <w:lang w:val="en-GB"/>
        </w:rPr>
        <w:t xml:space="preserve">; OECD, </w:t>
      </w:r>
      <w:r w:rsidR="00D9508C" w:rsidRPr="003778C4">
        <w:rPr>
          <w:rFonts w:cs="Times New Roman"/>
          <w:szCs w:val="24"/>
          <w:lang w:val="en-GB"/>
        </w:rPr>
        <w:t>2013).</w:t>
      </w:r>
      <w:r w:rsidRPr="003778C4">
        <w:rPr>
          <w:rFonts w:cs="Times New Roman"/>
          <w:szCs w:val="24"/>
          <w:lang w:val="en-GB"/>
        </w:rPr>
        <w:t xml:space="preserve"> </w:t>
      </w:r>
      <w:r w:rsidR="00827F1A" w:rsidRPr="003778C4">
        <w:rPr>
          <w:rFonts w:cs="Times New Roman"/>
          <w:szCs w:val="24"/>
          <w:lang w:val="en-GB"/>
        </w:rPr>
        <w:t>Round 2 (2014-15)</w:t>
      </w:r>
      <w:r w:rsidRPr="003778C4">
        <w:rPr>
          <w:rFonts w:cs="Times New Roman"/>
          <w:szCs w:val="24"/>
          <w:lang w:val="en-GB"/>
        </w:rPr>
        <w:t xml:space="preserve"> included</w:t>
      </w:r>
      <w:r w:rsidR="00827F1A" w:rsidRPr="003778C4">
        <w:rPr>
          <w:rFonts w:cs="Times New Roman"/>
          <w:szCs w:val="24"/>
          <w:lang w:val="en-GB"/>
        </w:rPr>
        <w:t xml:space="preserve"> </w:t>
      </w:r>
      <w:r w:rsidRPr="003778C4">
        <w:rPr>
          <w:rFonts w:cs="Times New Roman"/>
          <w:szCs w:val="24"/>
          <w:lang w:val="en-GB"/>
        </w:rPr>
        <w:t>nine more varied countries</w:t>
      </w:r>
      <w:r w:rsidR="00827F1A" w:rsidRPr="003778C4">
        <w:rPr>
          <w:rFonts w:cs="Times New Roman"/>
          <w:szCs w:val="24"/>
          <w:lang w:val="en-GB"/>
        </w:rPr>
        <w:t xml:space="preserve"> </w:t>
      </w:r>
      <w:r w:rsidRPr="003778C4">
        <w:rPr>
          <w:rFonts w:cs="Times New Roman"/>
          <w:szCs w:val="24"/>
          <w:lang w:val="en-GB"/>
        </w:rPr>
        <w:t xml:space="preserve">(among </w:t>
      </w:r>
      <w:r w:rsidRPr="003778C4">
        <w:rPr>
          <w:rFonts w:cs="Times New Roman"/>
          <w:szCs w:val="24"/>
          <w:lang w:val="en-GB"/>
        </w:rPr>
        <w:lastRenderedPageBreak/>
        <w:t>them</w:t>
      </w:r>
      <w:r w:rsidR="00827F1A" w:rsidRPr="003778C4">
        <w:rPr>
          <w:rFonts w:cs="Times New Roman"/>
          <w:szCs w:val="24"/>
          <w:lang w:val="en-GB"/>
        </w:rPr>
        <w:t xml:space="preserve"> Greece, Indonesia, Israel, New Zealand, </w:t>
      </w:r>
      <w:r w:rsidRPr="003778C4">
        <w:rPr>
          <w:rFonts w:cs="Times New Roman"/>
          <w:szCs w:val="24"/>
          <w:lang w:val="en-GB"/>
        </w:rPr>
        <w:t xml:space="preserve">Singapore, Turkey; </w:t>
      </w:r>
      <w:r w:rsidR="00827F1A" w:rsidRPr="003778C4">
        <w:rPr>
          <w:rFonts w:cs="Times New Roman"/>
          <w:szCs w:val="24"/>
          <w:lang w:val="en-GB"/>
        </w:rPr>
        <w:t>OECD, 2016)</w:t>
      </w:r>
      <w:r w:rsidRPr="003778C4">
        <w:rPr>
          <w:rFonts w:cs="Times New Roman"/>
          <w:szCs w:val="24"/>
          <w:lang w:val="en-GB"/>
        </w:rPr>
        <w:t>.</w:t>
      </w:r>
      <w:r w:rsidR="00D9508C" w:rsidRPr="003778C4">
        <w:rPr>
          <w:rFonts w:cs="Times New Roman"/>
          <w:szCs w:val="24"/>
          <w:lang w:val="en-GB"/>
        </w:rPr>
        <w:t xml:space="preserve"> Round 3 is planned to include six countries, including three from Latin America and the United States (</w:t>
      </w:r>
      <w:r w:rsidR="00A22085" w:rsidRPr="003778C4">
        <w:rPr>
          <w:rFonts w:cs="Times New Roman"/>
          <w:szCs w:val="24"/>
          <w:lang w:val="en-GB"/>
        </w:rPr>
        <w:t xml:space="preserve">the latter </w:t>
      </w:r>
      <w:r w:rsidR="00D9508C" w:rsidRPr="003778C4">
        <w:rPr>
          <w:rFonts w:cs="Times New Roman"/>
          <w:szCs w:val="24"/>
          <w:lang w:val="en-GB"/>
        </w:rPr>
        <w:t>for a second time).</w:t>
      </w:r>
    </w:p>
    <w:p w:rsidR="00827F1A" w:rsidRPr="003778C4" w:rsidRDefault="00827F1A" w:rsidP="00895047">
      <w:pPr>
        <w:pStyle w:val="ICMENormal"/>
        <w:spacing w:after="0" w:line="240" w:lineRule="auto"/>
        <w:rPr>
          <w:rFonts w:cs="Times New Roman"/>
          <w:szCs w:val="24"/>
          <w:lang w:val="en-GB"/>
        </w:rPr>
      </w:pPr>
    </w:p>
    <w:p w:rsidR="005761C3" w:rsidRPr="003778C4" w:rsidRDefault="005761C3" w:rsidP="00895047">
      <w:pPr>
        <w:pStyle w:val="ICMEHeading2"/>
        <w:spacing w:before="0" w:after="0" w:line="240" w:lineRule="auto"/>
        <w:rPr>
          <w:rFonts w:cs="Times New Roman"/>
          <w:szCs w:val="24"/>
          <w:lang w:val="en-GB"/>
        </w:rPr>
      </w:pPr>
      <w:proofErr w:type="gramStart"/>
      <w:r w:rsidRPr="003778C4">
        <w:rPr>
          <w:rFonts w:cs="Times New Roman"/>
          <w:szCs w:val="24"/>
          <w:lang w:val="en-GB"/>
        </w:rPr>
        <w:t>Researchers as policy actors</w:t>
      </w:r>
      <w:r w:rsidR="009D7D10" w:rsidRPr="003778C4">
        <w:rPr>
          <w:rFonts w:cs="Times New Roman"/>
          <w:szCs w:val="24"/>
          <w:lang w:val="en-GB"/>
        </w:rPr>
        <w:t>?</w:t>
      </w:r>
      <w:proofErr w:type="gramEnd"/>
    </w:p>
    <w:p w:rsidR="009F3BDA" w:rsidRDefault="00310DF2" w:rsidP="00895047">
      <w:pPr>
        <w:pStyle w:val="ICMENormal"/>
        <w:spacing w:after="0" w:line="240" w:lineRule="auto"/>
        <w:rPr>
          <w:rFonts w:cs="Times New Roman"/>
          <w:szCs w:val="24"/>
          <w:lang w:val="en-GB"/>
        </w:rPr>
      </w:pPr>
      <w:r w:rsidRPr="003778C4">
        <w:rPr>
          <w:rFonts w:cs="Times New Roman"/>
          <w:szCs w:val="24"/>
          <w:lang w:val="en-GB"/>
        </w:rPr>
        <w:t xml:space="preserve">There is a long history of studies </w:t>
      </w:r>
      <w:r w:rsidR="00DD5299" w:rsidRPr="003778C4">
        <w:rPr>
          <w:rFonts w:cs="Times New Roman"/>
          <w:szCs w:val="24"/>
          <w:lang w:val="en-GB"/>
        </w:rPr>
        <w:t xml:space="preserve">in political science and political sociology </w:t>
      </w:r>
      <w:r w:rsidRPr="003778C4">
        <w:rPr>
          <w:rFonts w:cs="Times New Roman"/>
          <w:szCs w:val="24"/>
          <w:lang w:val="en-GB"/>
        </w:rPr>
        <w:t>aiming to assess the influence of different groups on the national policy making process</w:t>
      </w:r>
      <w:r w:rsidR="00333786" w:rsidRPr="003778C4">
        <w:rPr>
          <w:rFonts w:cs="Times New Roman"/>
          <w:szCs w:val="24"/>
          <w:lang w:val="en-GB"/>
        </w:rPr>
        <w:t>. For example,</w:t>
      </w:r>
      <w:r w:rsidR="00DD5299" w:rsidRPr="003778C4">
        <w:rPr>
          <w:rFonts w:cs="Times New Roman"/>
          <w:szCs w:val="24"/>
          <w:lang w:val="en-GB"/>
        </w:rPr>
        <w:t xml:space="preserve"> </w:t>
      </w:r>
      <w:proofErr w:type="spellStart"/>
      <w:r w:rsidR="00B10392" w:rsidRPr="003778C4">
        <w:rPr>
          <w:rFonts w:cs="Times New Roman"/>
          <w:szCs w:val="24"/>
          <w:lang w:val="en-GB"/>
        </w:rPr>
        <w:t>Gilens</w:t>
      </w:r>
      <w:proofErr w:type="spellEnd"/>
      <w:r w:rsidR="000205CC" w:rsidRPr="003778C4">
        <w:rPr>
          <w:rFonts w:cs="Times New Roman"/>
          <w:szCs w:val="24"/>
          <w:lang w:val="en-GB"/>
        </w:rPr>
        <w:t xml:space="preserve"> and</w:t>
      </w:r>
      <w:r w:rsidR="00B10392" w:rsidRPr="003778C4">
        <w:rPr>
          <w:rFonts w:cs="Times New Roman"/>
          <w:szCs w:val="24"/>
          <w:lang w:val="en-GB"/>
        </w:rPr>
        <w:t xml:space="preserve"> Page (2014)</w:t>
      </w:r>
      <w:r w:rsidR="00DD5299" w:rsidRPr="003778C4">
        <w:rPr>
          <w:rFonts w:cs="Times New Roman"/>
          <w:szCs w:val="24"/>
          <w:lang w:val="en-GB"/>
        </w:rPr>
        <w:t xml:space="preserve"> </w:t>
      </w:r>
      <w:r w:rsidR="00333786" w:rsidRPr="003778C4">
        <w:rPr>
          <w:rFonts w:cs="Times New Roman"/>
          <w:szCs w:val="24"/>
          <w:lang w:val="en-GB"/>
        </w:rPr>
        <w:t xml:space="preserve">aims to compare </w:t>
      </w:r>
      <w:r w:rsidR="00DD5299" w:rsidRPr="003778C4">
        <w:rPr>
          <w:rFonts w:cs="Times New Roman"/>
          <w:szCs w:val="24"/>
          <w:lang w:val="en-GB"/>
        </w:rPr>
        <w:t xml:space="preserve">the influence of ordinary citizens, affluent citizens, business-oriented and mass-based </w:t>
      </w:r>
      <w:r w:rsidR="00333786" w:rsidRPr="003778C4">
        <w:rPr>
          <w:rFonts w:cs="Times New Roman"/>
          <w:szCs w:val="24"/>
          <w:lang w:val="en-GB"/>
        </w:rPr>
        <w:t>“</w:t>
      </w:r>
      <w:r w:rsidR="00DD5299" w:rsidRPr="003778C4">
        <w:rPr>
          <w:rFonts w:cs="Times New Roman"/>
          <w:szCs w:val="24"/>
          <w:lang w:val="en-GB"/>
        </w:rPr>
        <w:t>interest groups</w:t>
      </w:r>
      <w:r w:rsidR="00333786" w:rsidRPr="003778C4">
        <w:rPr>
          <w:rFonts w:cs="Times New Roman"/>
          <w:szCs w:val="24"/>
          <w:lang w:val="en-GB"/>
        </w:rPr>
        <w:t>”</w:t>
      </w:r>
      <w:r w:rsidR="00DD5299" w:rsidRPr="003778C4">
        <w:rPr>
          <w:rFonts w:cs="Times New Roman"/>
          <w:szCs w:val="24"/>
          <w:lang w:val="en-GB"/>
        </w:rPr>
        <w:t xml:space="preserve"> in the USA in the twenty </w:t>
      </w:r>
      <w:r w:rsidR="009F3BDA" w:rsidRPr="003778C4">
        <w:rPr>
          <w:rFonts w:cs="Times New Roman"/>
          <w:szCs w:val="24"/>
          <w:lang w:val="en-GB"/>
        </w:rPr>
        <w:t>years to 2002.</w:t>
      </w:r>
      <w:r w:rsidR="00333786" w:rsidRPr="003778C4">
        <w:rPr>
          <w:rFonts w:cs="Times New Roman"/>
          <w:szCs w:val="24"/>
          <w:lang w:val="en-GB"/>
        </w:rPr>
        <w:t xml:space="preserve"> </w:t>
      </w:r>
      <w:r w:rsidR="009F3BDA" w:rsidRPr="003778C4">
        <w:rPr>
          <w:rFonts w:cs="Times New Roman"/>
          <w:szCs w:val="24"/>
          <w:lang w:val="en-GB"/>
        </w:rPr>
        <w:t>H</w:t>
      </w:r>
      <w:r w:rsidR="00333786" w:rsidRPr="003778C4">
        <w:rPr>
          <w:rFonts w:cs="Times New Roman"/>
          <w:szCs w:val="24"/>
          <w:lang w:val="en-GB"/>
        </w:rPr>
        <w:t xml:space="preserve">owever, the groups they report on are large-scale and very heterogeneous. </w:t>
      </w:r>
      <w:r w:rsidRPr="003778C4">
        <w:rPr>
          <w:rFonts w:cs="Times New Roman"/>
          <w:szCs w:val="24"/>
          <w:lang w:val="en-GB"/>
        </w:rPr>
        <w:t xml:space="preserve">  </w:t>
      </w:r>
    </w:p>
    <w:p w:rsidR="00895047" w:rsidRPr="003778C4" w:rsidRDefault="00895047" w:rsidP="00895047">
      <w:pPr>
        <w:pStyle w:val="ICMENormal"/>
        <w:spacing w:after="0" w:line="240" w:lineRule="auto"/>
        <w:rPr>
          <w:rFonts w:cs="Times New Roman"/>
          <w:szCs w:val="24"/>
          <w:lang w:val="en-GB"/>
        </w:rPr>
      </w:pPr>
    </w:p>
    <w:p w:rsidR="000A29B2" w:rsidRDefault="00507610" w:rsidP="00895047">
      <w:pPr>
        <w:pStyle w:val="ICMENormal"/>
        <w:spacing w:after="0" w:line="240" w:lineRule="auto"/>
        <w:rPr>
          <w:rFonts w:cs="Times New Roman"/>
          <w:szCs w:val="24"/>
          <w:lang w:val="en-GB"/>
        </w:rPr>
      </w:pPr>
      <w:r w:rsidRPr="003778C4">
        <w:rPr>
          <w:rFonts w:cs="Times New Roman"/>
          <w:szCs w:val="24"/>
          <w:lang w:val="en-GB"/>
        </w:rPr>
        <w:t>Recently educational researchers have begun to consider more fully the roles that they themselves might play in the processes of formulating and implementing policy, as well as evaluating it. For example, Ball et al. (2011) offer “a typology of roles and positions through which teachers enga</w:t>
      </w:r>
      <w:r w:rsidR="00537094" w:rsidRPr="003778C4">
        <w:rPr>
          <w:rFonts w:cs="Times New Roman"/>
          <w:szCs w:val="24"/>
          <w:lang w:val="en-GB"/>
        </w:rPr>
        <w:t>g</w:t>
      </w:r>
      <w:r w:rsidRPr="003778C4">
        <w:rPr>
          <w:rFonts w:cs="Times New Roman"/>
          <w:szCs w:val="24"/>
          <w:lang w:val="en-GB"/>
        </w:rPr>
        <w:t>e with policy and with which policies get ‘enacted’” (p</w:t>
      </w:r>
      <w:r w:rsidR="009B045B" w:rsidRPr="003778C4">
        <w:rPr>
          <w:rFonts w:cs="Times New Roman"/>
          <w:szCs w:val="24"/>
          <w:lang w:val="en-GB"/>
        </w:rPr>
        <w:t xml:space="preserve">. </w:t>
      </w:r>
      <w:r w:rsidRPr="003778C4">
        <w:rPr>
          <w:rFonts w:cs="Times New Roman"/>
          <w:szCs w:val="24"/>
          <w:lang w:val="en-GB"/>
        </w:rPr>
        <w:t>625); these roles include those of ‘Narrators’, ‘</w:t>
      </w:r>
      <w:r w:rsidR="0003411A" w:rsidRPr="003778C4">
        <w:rPr>
          <w:rFonts w:cs="Times New Roman"/>
          <w:szCs w:val="24"/>
          <w:lang w:val="en-GB"/>
        </w:rPr>
        <w:t>Transl</w:t>
      </w:r>
      <w:r w:rsidRPr="003778C4">
        <w:rPr>
          <w:rFonts w:cs="Times New Roman"/>
          <w:szCs w:val="24"/>
          <w:lang w:val="en-GB"/>
        </w:rPr>
        <w:t>ators’, ‘Critics’ and ‘Receivers</w:t>
      </w:r>
      <w:r w:rsidR="0003411A" w:rsidRPr="003778C4">
        <w:rPr>
          <w:rFonts w:cs="Times New Roman"/>
          <w:szCs w:val="24"/>
          <w:lang w:val="en-GB"/>
        </w:rPr>
        <w:t>’</w:t>
      </w:r>
      <w:r w:rsidRPr="003778C4">
        <w:rPr>
          <w:rFonts w:cs="Times New Roman"/>
          <w:szCs w:val="24"/>
          <w:lang w:val="en-GB"/>
        </w:rPr>
        <w:t xml:space="preserve">. But these refer to the ‘policy work’ of </w:t>
      </w:r>
      <w:r w:rsidR="00310DF2" w:rsidRPr="003778C4">
        <w:rPr>
          <w:rFonts w:cs="Times New Roman"/>
          <w:szCs w:val="24"/>
          <w:lang w:val="en-GB"/>
        </w:rPr>
        <w:t xml:space="preserve">people </w:t>
      </w:r>
      <w:r w:rsidRPr="003778C4">
        <w:rPr>
          <w:rFonts w:cs="Times New Roman"/>
          <w:szCs w:val="24"/>
          <w:lang w:val="en-GB"/>
        </w:rPr>
        <w:t xml:space="preserve">they call ‘teacher actors’ in </w:t>
      </w:r>
      <w:proofErr w:type="gramStart"/>
      <w:r w:rsidRPr="003778C4">
        <w:rPr>
          <w:rFonts w:cs="Times New Roman"/>
          <w:szCs w:val="24"/>
          <w:lang w:val="en-GB"/>
        </w:rPr>
        <w:t>schools</w:t>
      </w:r>
      <w:r w:rsidR="0003411A" w:rsidRPr="003778C4">
        <w:rPr>
          <w:rFonts w:cs="Times New Roman"/>
          <w:szCs w:val="24"/>
          <w:lang w:val="en-GB"/>
        </w:rPr>
        <w:t>,</w:t>
      </w:r>
      <w:proofErr w:type="gramEnd"/>
      <w:r w:rsidR="0003411A" w:rsidRPr="003778C4">
        <w:rPr>
          <w:rFonts w:cs="Times New Roman"/>
          <w:szCs w:val="24"/>
          <w:lang w:val="en-GB"/>
        </w:rPr>
        <w:t xml:space="preserve"> so do not refer to the group we are studying here.</w:t>
      </w:r>
      <w:r w:rsidR="000A29B2" w:rsidRPr="003778C4">
        <w:rPr>
          <w:rFonts w:cs="Times New Roman"/>
          <w:szCs w:val="24"/>
          <w:lang w:val="en-GB"/>
        </w:rPr>
        <w:t xml:space="preserve"> </w:t>
      </w:r>
      <w:r w:rsidR="00D9508C" w:rsidRPr="003778C4">
        <w:rPr>
          <w:rFonts w:cs="Times New Roman"/>
          <w:szCs w:val="24"/>
          <w:lang w:val="en-GB"/>
        </w:rPr>
        <w:t xml:space="preserve">Yasukawa, Hamilton and Evans (2016) have examined </w:t>
      </w:r>
      <w:r w:rsidR="00D9508C" w:rsidRPr="003778C4">
        <w:rPr>
          <w:rFonts w:cs="Times New Roman"/>
          <w:i/>
          <w:szCs w:val="24"/>
          <w:lang w:val="en-GB"/>
        </w:rPr>
        <w:t>national media</w:t>
      </w:r>
      <w:r w:rsidR="00D9508C" w:rsidRPr="003778C4">
        <w:rPr>
          <w:rFonts w:cs="Times New Roman"/>
          <w:szCs w:val="24"/>
          <w:lang w:val="en-GB"/>
        </w:rPr>
        <w:t xml:space="preserve"> and the journalists involved as policy actors in Japan, France and the UK, following the release of the first wave of the SAS results in October 2013; however, only a minority of the authors contributing to media outputs in this area are researchers or academics.</w:t>
      </w:r>
    </w:p>
    <w:p w:rsidR="00895047" w:rsidRPr="003778C4" w:rsidRDefault="00895047" w:rsidP="00895047">
      <w:pPr>
        <w:pStyle w:val="ICMENormal"/>
        <w:spacing w:after="0" w:line="240" w:lineRule="auto"/>
        <w:rPr>
          <w:rFonts w:cs="Times New Roman"/>
          <w:szCs w:val="24"/>
          <w:lang w:val="en-GB"/>
        </w:rPr>
      </w:pPr>
    </w:p>
    <w:p w:rsidR="000A29B2" w:rsidRDefault="0003411A" w:rsidP="00895047">
      <w:pPr>
        <w:pStyle w:val="ICMENormal"/>
        <w:spacing w:after="0" w:line="240" w:lineRule="auto"/>
        <w:rPr>
          <w:rFonts w:cs="Times New Roman"/>
          <w:szCs w:val="24"/>
          <w:lang w:val="en-GB"/>
        </w:rPr>
      </w:pPr>
      <w:r w:rsidRPr="003778C4">
        <w:rPr>
          <w:rFonts w:cs="Times New Roman"/>
          <w:szCs w:val="24"/>
          <w:lang w:val="en-GB"/>
        </w:rPr>
        <w:t xml:space="preserve">Lawn </w:t>
      </w:r>
      <w:r w:rsidR="000205CC" w:rsidRPr="003778C4">
        <w:rPr>
          <w:rFonts w:cs="Times New Roman"/>
          <w:szCs w:val="24"/>
          <w:lang w:val="en-GB"/>
        </w:rPr>
        <w:t xml:space="preserve">and </w:t>
      </w:r>
      <w:r w:rsidR="000A29B2" w:rsidRPr="003778C4">
        <w:rPr>
          <w:rFonts w:cs="Times New Roman"/>
          <w:szCs w:val="24"/>
          <w:lang w:val="en-GB"/>
        </w:rPr>
        <w:t>Lingard (2002) point</w:t>
      </w:r>
      <w:r w:rsidR="00BB483D" w:rsidRPr="003778C4">
        <w:rPr>
          <w:rFonts w:cs="Times New Roman"/>
          <w:szCs w:val="24"/>
          <w:lang w:val="en-GB"/>
        </w:rPr>
        <w:t>ed</w:t>
      </w:r>
      <w:r w:rsidR="000A29B2" w:rsidRPr="003778C4">
        <w:rPr>
          <w:rFonts w:cs="Times New Roman"/>
          <w:szCs w:val="24"/>
          <w:lang w:val="en-GB"/>
        </w:rPr>
        <w:t xml:space="preserve"> out </w:t>
      </w:r>
      <w:r w:rsidR="00BB483D" w:rsidRPr="003778C4">
        <w:rPr>
          <w:rFonts w:cs="Times New Roman"/>
          <w:szCs w:val="24"/>
          <w:lang w:val="en-GB"/>
        </w:rPr>
        <w:t xml:space="preserve">earlier </w:t>
      </w:r>
      <w:r w:rsidR="000A29B2" w:rsidRPr="003778C4">
        <w:rPr>
          <w:rFonts w:cs="Times New Roman"/>
          <w:szCs w:val="24"/>
          <w:lang w:val="en-GB"/>
        </w:rPr>
        <w:t xml:space="preserve">that, in Europe, “significant policy actors in education are working today </w:t>
      </w:r>
      <w:r w:rsidR="006B29C2" w:rsidRPr="003778C4">
        <w:rPr>
          <w:rFonts w:cs="Times New Roman"/>
          <w:szCs w:val="24"/>
          <w:lang w:val="en-GB"/>
        </w:rPr>
        <w:t xml:space="preserve">[…] </w:t>
      </w:r>
      <w:r w:rsidR="000A29B2" w:rsidRPr="003778C4">
        <w:rPr>
          <w:rFonts w:cs="Times New Roman"/>
          <w:szCs w:val="24"/>
          <w:lang w:val="en-GB"/>
        </w:rPr>
        <w:t>in joint governmental projects and networking translating, mediating and constructing educational policies”</w:t>
      </w:r>
      <w:r w:rsidR="004F564B" w:rsidRPr="003778C4">
        <w:rPr>
          <w:rFonts w:cs="Times New Roman"/>
          <w:szCs w:val="24"/>
          <w:lang w:val="en-GB"/>
        </w:rPr>
        <w:t xml:space="preserve"> (p</w:t>
      </w:r>
      <w:r w:rsidR="009B045B" w:rsidRPr="003778C4">
        <w:rPr>
          <w:rFonts w:cs="Times New Roman"/>
          <w:szCs w:val="24"/>
          <w:lang w:val="en-GB"/>
        </w:rPr>
        <w:t>.</w:t>
      </w:r>
      <w:r w:rsidR="004F564B" w:rsidRPr="003778C4">
        <w:rPr>
          <w:rFonts w:cs="Times New Roman"/>
          <w:szCs w:val="24"/>
          <w:lang w:val="en-GB"/>
        </w:rPr>
        <w:t>290)</w:t>
      </w:r>
      <w:r w:rsidR="000A29B2" w:rsidRPr="003778C4">
        <w:rPr>
          <w:rFonts w:cs="Times New Roman"/>
          <w:szCs w:val="24"/>
          <w:lang w:val="en-GB"/>
        </w:rPr>
        <w:t xml:space="preserve">; these policy actors often have transnational identities </w:t>
      </w:r>
      <w:r w:rsidR="006B29C2" w:rsidRPr="003778C4">
        <w:rPr>
          <w:rFonts w:cs="Times New Roman"/>
          <w:szCs w:val="24"/>
          <w:lang w:val="en-GB"/>
        </w:rPr>
        <w:t xml:space="preserve">or </w:t>
      </w:r>
      <w:r w:rsidR="000A29B2" w:rsidRPr="003778C4">
        <w:rPr>
          <w:rFonts w:cs="Times New Roman"/>
          <w:szCs w:val="24"/>
          <w:lang w:val="en-GB"/>
        </w:rPr>
        <w:t xml:space="preserve">allegiances. </w:t>
      </w:r>
      <w:proofErr w:type="spellStart"/>
      <w:r w:rsidR="00F440AA" w:rsidRPr="003778C4">
        <w:rPr>
          <w:rFonts w:cs="Times New Roman"/>
          <w:szCs w:val="24"/>
          <w:lang w:val="en-GB"/>
        </w:rPr>
        <w:t>Grek</w:t>
      </w:r>
      <w:proofErr w:type="spellEnd"/>
      <w:r w:rsidR="00F440AA" w:rsidRPr="003778C4">
        <w:rPr>
          <w:rFonts w:cs="Times New Roman"/>
          <w:szCs w:val="24"/>
          <w:lang w:val="en-GB"/>
        </w:rPr>
        <w:t xml:space="preserve"> (2010) examines “the ways that international comparative testing in the field of education has not only offered policy-makers with much needed data to govern, but has in fact almost fused the realms of knowledge and policy”; she calls this near-fusion of expertise and promotion of “undisputed, universal policy solutions”</w:t>
      </w:r>
      <w:r w:rsidR="000205CC" w:rsidRPr="003778C4">
        <w:rPr>
          <w:rFonts w:cs="Times New Roman"/>
          <w:szCs w:val="24"/>
          <w:lang w:val="en-GB"/>
        </w:rPr>
        <w:t xml:space="preserve"> </w:t>
      </w:r>
      <w:r w:rsidR="00F440AA" w:rsidRPr="003778C4">
        <w:rPr>
          <w:rFonts w:cs="Times New Roman"/>
          <w:szCs w:val="24"/>
          <w:lang w:val="en-GB"/>
        </w:rPr>
        <w:t>an ‘</w:t>
      </w:r>
      <w:proofErr w:type="spellStart"/>
      <w:r w:rsidR="00F440AA" w:rsidRPr="003778C4">
        <w:rPr>
          <w:rFonts w:cs="Times New Roman"/>
          <w:szCs w:val="24"/>
          <w:lang w:val="en-GB"/>
        </w:rPr>
        <w:t>expertocracy</w:t>
      </w:r>
      <w:proofErr w:type="spellEnd"/>
      <w:r w:rsidR="00F440AA" w:rsidRPr="003778C4">
        <w:rPr>
          <w:rFonts w:cs="Times New Roman"/>
          <w:szCs w:val="24"/>
          <w:lang w:val="en-GB"/>
        </w:rPr>
        <w:t>’</w:t>
      </w:r>
      <w:r w:rsidR="001E3583" w:rsidRPr="003778C4">
        <w:rPr>
          <w:rFonts w:cs="Times New Roman"/>
          <w:szCs w:val="24"/>
          <w:lang w:val="en-GB"/>
        </w:rPr>
        <w:t xml:space="preserve"> (p, 695)</w:t>
      </w:r>
      <w:r w:rsidR="00F440AA" w:rsidRPr="003778C4">
        <w:rPr>
          <w:rFonts w:cs="Times New Roman"/>
          <w:szCs w:val="24"/>
          <w:lang w:val="en-GB"/>
        </w:rPr>
        <w:t>.</w:t>
      </w:r>
    </w:p>
    <w:p w:rsidR="00895047" w:rsidRPr="003778C4" w:rsidRDefault="00895047" w:rsidP="00895047">
      <w:pPr>
        <w:pStyle w:val="ICMENormal"/>
        <w:spacing w:after="0" w:line="240" w:lineRule="auto"/>
        <w:rPr>
          <w:rFonts w:cs="Times New Roman"/>
          <w:szCs w:val="24"/>
          <w:lang w:val="en-GB"/>
        </w:rPr>
      </w:pPr>
    </w:p>
    <w:p w:rsidR="005139A2" w:rsidRPr="003778C4" w:rsidRDefault="005139A2" w:rsidP="00895047">
      <w:pPr>
        <w:pStyle w:val="ICMENormal"/>
        <w:spacing w:after="0" w:line="240" w:lineRule="auto"/>
        <w:rPr>
          <w:rFonts w:cs="Times New Roman"/>
          <w:szCs w:val="24"/>
          <w:lang w:val="en-GB"/>
        </w:rPr>
      </w:pPr>
      <w:r w:rsidRPr="003778C4">
        <w:rPr>
          <w:rFonts w:cs="Times New Roman"/>
          <w:szCs w:val="24"/>
          <w:lang w:val="en-GB"/>
        </w:rPr>
        <w:t xml:space="preserve">Farrell (2014) observes that increasingly there are non-traditional players in research who are producing research that is gaining strong traction by policy makers. She cites ‘corporate researchers’ such as large commercial publishers (Pearson), commercial service providers (Price Waterhouse &amp; Coopers, McKinsey), and </w:t>
      </w:r>
      <w:r w:rsidR="003C3132" w:rsidRPr="003778C4">
        <w:rPr>
          <w:rFonts w:cs="Times New Roman"/>
          <w:szCs w:val="24"/>
          <w:lang w:val="en-GB"/>
        </w:rPr>
        <w:t xml:space="preserve">national </w:t>
      </w:r>
      <w:r w:rsidR="0097560C" w:rsidRPr="003778C4">
        <w:rPr>
          <w:rFonts w:cs="Times New Roman"/>
          <w:szCs w:val="24"/>
          <w:lang w:val="en-GB"/>
        </w:rPr>
        <w:t>employer</w:t>
      </w:r>
      <w:r w:rsidR="003C3132" w:rsidRPr="003778C4">
        <w:rPr>
          <w:rFonts w:cs="Times New Roman"/>
          <w:szCs w:val="24"/>
          <w:lang w:val="en-GB"/>
        </w:rPr>
        <w:t>s’</w:t>
      </w:r>
      <w:r w:rsidR="0097560C" w:rsidRPr="003778C4">
        <w:rPr>
          <w:rFonts w:cs="Times New Roman"/>
          <w:szCs w:val="24"/>
          <w:lang w:val="en-GB"/>
        </w:rPr>
        <w:t xml:space="preserve"> associations</w:t>
      </w:r>
      <w:r w:rsidRPr="003778C4">
        <w:rPr>
          <w:rFonts w:cs="Times New Roman"/>
          <w:szCs w:val="24"/>
          <w:lang w:val="en-GB"/>
        </w:rPr>
        <w:t xml:space="preserve"> (e.g. the Australian Industry Group) who produce research that </w:t>
      </w:r>
      <w:r w:rsidR="003C3132" w:rsidRPr="003778C4">
        <w:rPr>
          <w:rFonts w:cs="Times New Roman"/>
          <w:szCs w:val="24"/>
          <w:lang w:val="en-GB"/>
        </w:rPr>
        <w:t>is</w:t>
      </w:r>
      <w:r w:rsidRPr="003778C4">
        <w:rPr>
          <w:rFonts w:cs="Times New Roman"/>
          <w:szCs w:val="24"/>
          <w:lang w:val="en-GB"/>
        </w:rPr>
        <w:t xml:space="preserve"> “not only designed to influence policy, it was also designed to implement government policy around global competitiveness” (Farrell, 2014, p. 69).</w:t>
      </w:r>
    </w:p>
    <w:p w:rsidR="00895047" w:rsidRDefault="00EC0ABC" w:rsidP="00895047">
      <w:pPr>
        <w:pStyle w:val="ICMENormal"/>
        <w:spacing w:after="0" w:line="240" w:lineRule="auto"/>
        <w:rPr>
          <w:rFonts w:cs="Times New Roman"/>
          <w:szCs w:val="24"/>
          <w:lang w:val="en-GB"/>
        </w:rPr>
      </w:pPr>
      <w:r w:rsidRPr="003778C4">
        <w:rPr>
          <w:rFonts w:cs="Times New Roman"/>
          <w:szCs w:val="24"/>
          <w:lang w:val="en-GB"/>
        </w:rPr>
        <w:t xml:space="preserve">Against the backdrop of the emerging </w:t>
      </w:r>
      <w:proofErr w:type="spellStart"/>
      <w:proofErr w:type="gramStart"/>
      <w:r w:rsidRPr="003778C4">
        <w:rPr>
          <w:rFonts w:cs="Times New Roman"/>
          <w:szCs w:val="24"/>
          <w:lang w:val="en-GB"/>
        </w:rPr>
        <w:t>tran</w:t>
      </w:r>
      <w:proofErr w:type="spellEnd"/>
      <w:proofErr w:type="gramEnd"/>
    </w:p>
    <w:p w:rsidR="00EC0ABC" w:rsidRPr="003778C4" w:rsidRDefault="00EC0ABC" w:rsidP="00895047">
      <w:pPr>
        <w:pStyle w:val="ICMENormal"/>
        <w:spacing w:after="0" w:line="240" w:lineRule="auto"/>
        <w:rPr>
          <w:rFonts w:cs="Times New Roman"/>
          <w:szCs w:val="24"/>
          <w:lang w:val="en-GB"/>
        </w:rPr>
      </w:pPr>
      <w:proofErr w:type="spellStart"/>
      <w:r w:rsidRPr="003778C4">
        <w:rPr>
          <w:rFonts w:cs="Times New Roman"/>
          <w:szCs w:val="24"/>
          <w:lang w:val="en-GB"/>
        </w:rPr>
        <w:t>snational</w:t>
      </w:r>
      <w:proofErr w:type="spellEnd"/>
      <w:r w:rsidRPr="003778C4">
        <w:rPr>
          <w:rFonts w:cs="Times New Roman"/>
          <w:szCs w:val="24"/>
          <w:lang w:val="en-GB"/>
        </w:rPr>
        <w:t xml:space="preserve"> discourses about adult numeracy (and literacy), </w:t>
      </w:r>
      <w:r w:rsidR="00F440AA" w:rsidRPr="003778C4">
        <w:rPr>
          <w:rFonts w:cs="Times New Roman"/>
          <w:szCs w:val="24"/>
          <w:lang w:val="en-GB"/>
        </w:rPr>
        <w:t>we adapt an earlier typology (Evans, Wedege &amp; Yasukawa, 2013</w:t>
      </w:r>
      <w:r w:rsidR="009F3BDA" w:rsidRPr="003778C4">
        <w:rPr>
          <w:rFonts w:cs="Times New Roman"/>
          <w:szCs w:val="24"/>
          <w:lang w:val="en-GB"/>
        </w:rPr>
        <w:t>, p. 234</w:t>
      </w:r>
      <w:r w:rsidR="00F440AA" w:rsidRPr="003778C4">
        <w:rPr>
          <w:rFonts w:cs="Times New Roman"/>
          <w:szCs w:val="24"/>
          <w:lang w:val="en-GB"/>
        </w:rPr>
        <w:t xml:space="preserve">) to </w:t>
      </w:r>
      <w:r w:rsidR="00543B48" w:rsidRPr="003778C4">
        <w:rPr>
          <w:rFonts w:cs="Times New Roman"/>
          <w:szCs w:val="24"/>
          <w:lang w:val="en-GB"/>
        </w:rPr>
        <w:t xml:space="preserve">discuss </w:t>
      </w:r>
      <w:r w:rsidR="00F440AA" w:rsidRPr="003778C4">
        <w:rPr>
          <w:rFonts w:cs="Times New Roman"/>
          <w:szCs w:val="24"/>
          <w:lang w:val="en-GB"/>
        </w:rPr>
        <w:t xml:space="preserve">more fully </w:t>
      </w:r>
      <w:r w:rsidR="009F3BDA" w:rsidRPr="003778C4">
        <w:rPr>
          <w:rFonts w:cs="Times New Roman"/>
          <w:szCs w:val="24"/>
          <w:lang w:val="en-GB"/>
        </w:rPr>
        <w:t xml:space="preserve">here </w:t>
      </w:r>
      <w:r w:rsidRPr="003778C4">
        <w:rPr>
          <w:rFonts w:cs="Times New Roman"/>
          <w:szCs w:val="24"/>
          <w:lang w:val="en-GB"/>
        </w:rPr>
        <w:t xml:space="preserve">the kinds of research role that </w:t>
      </w:r>
      <w:r w:rsidR="00F440AA" w:rsidRPr="003778C4">
        <w:rPr>
          <w:rFonts w:cs="Times New Roman"/>
          <w:szCs w:val="24"/>
          <w:lang w:val="en-GB"/>
        </w:rPr>
        <w:t>adult mathematics education</w:t>
      </w:r>
      <w:r w:rsidR="00543B48" w:rsidRPr="003778C4">
        <w:rPr>
          <w:rFonts w:cs="Times New Roman"/>
          <w:szCs w:val="24"/>
          <w:lang w:val="en-GB"/>
        </w:rPr>
        <w:t xml:space="preserve"> researchers might adopt to consider policy projects in general, and the aims, concepts, methods and results of international surveys such as PIAAC in particular. </w:t>
      </w:r>
      <w:r w:rsidR="009F3BDA" w:rsidRPr="003778C4">
        <w:rPr>
          <w:rFonts w:cs="Times New Roman"/>
          <w:szCs w:val="24"/>
          <w:lang w:val="en-GB"/>
        </w:rPr>
        <w:t xml:space="preserve">In these ways </w:t>
      </w:r>
      <w:r w:rsidR="00543B48" w:rsidRPr="003778C4">
        <w:rPr>
          <w:rFonts w:cs="Times New Roman"/>
          <w:szCs w:val="24"/>
          <w:lang w:val="en-GB"/>
        </w:rPr>
        <w:t xml:space="preserve">they </w:t>
      </w:r>
      <w:r w:rsidRPr="003778C4">
        <w:rPr>
          <w:rFonts w:cs="Times New Roman"/>
          <w:szCs w:val="24"/>
          <w:lang w:val="en-GB"/>
        </w:rPr>
        <w:t xml:space="preserve">might </w:t>
      </w:r>
      <w:r w:rsidR="00543B48" w:rsidRPr="003778C4">
        <w:rPr>
          <w:rFonts w:cs="Times New Roman"/>
          <w:szCs w:val="24"/>
          <w:lang w:val="en-GB"/>
        </w:rPr>
        <w:t xml:space="preserve">also </w:t>
      </w:r>
      <w:r w:rsidRPr="003778C4">
        <w:rPr>
          <w:rFonts w:cs="Times New Roman"/>
          <w:szCs w:val="24"/>
          <w:lang w:val="en-GB"/>
        </w:rPr>
        <w:t xml:space="preserve">contribute to the development of adult mathematics education and numeracy as a field of study. </w:t>
      </w:r>
    </w:p>
    <w:p w:rsidR="006746FD" w:rsidRPr="003778C4" w:rsidRDefault="006746FD" w:rsidP="00895047">
      <w:pPr>
        <w:pStyle w:val="ICMENormal"/>
        <w:spacing w:after="0" w:line="240" w:lineRule="auto"/>
        <w:rPr>
          <w:rFonts w:cs="Times New Roman"/>
          <w:szCs w:val="24"/>
          <w:lang w:val="en-GB"/>
        </w:rPr>
      </w:pPr>
      <w:r w:rsidRPr="003778C4">
        <w:rPr>
          <w:rFonts w:cs="Times New Roman"/>
          <w:szCs w:val="24"/>
          <w:lang w:val="en-GB"/>
        </w:rPr>
        <w:t>The roles that we set down in the earlier piece (Evans et al., 2013) were:</w:t>
      </w:r>
    </w:p>
    <w:p w:rsidR="006746FD" w:rsidRPr="003778C4" w:rsidRDefault="009B045B" w:rsidP="00895047">
      <w:pPr>
        <w:pStyle w:val="PMEBullet"/>
        <w:numPr>
          <w:ilvl w:val="0"/>
          <w:numId w:val="0"/>
        </w:numPr>
        <w:spacing w:line="240" w:lineRule="auto"/>
        <w:ind w:left="785"/>
        <w:rPr>
          <w:rFonts w:cs="Times New Roman"/>
          <w:szCs w:val="24"/>
          <w:lang w:val="en-GB"/>
        </w:rPr>
      </w:pPr>
      <w:r w:rsidRPr="003778C4">
        <w:rPr>
          <w:rFonts w:cs="Times New Roman"/>
          <w:szCs w:val="24"/>
          <w:lang w:val="en-GB"/>
        </w:rPr>
        <w:t xml:space="preserve">1.   </w:t>
      </w:r>
      <w:r w:rsidR="00EC0ABC" w:rsidRPr="003778C4">
        <w:rPr>
          <w:rFonts w:cs="Times New Roman"/>
          <w:szCs w:val="24"/>
          <w:lang w:val="en-GB"/>
        </w:rPr>
        <w:t>Objective reporter of what is ’really’</w:t>
      </w:r>
      <w:r w:rsidR="006746FD" w:rsidRPr="003778C4">
        <w:rPr>
          <w:rFonts w:cs="Times New Roman"/>
          <w:szCs w:val="24"/>
          <w:lang w:val="en-GB"/>
        </w:rPr>
        <w:t xml:space="preserve"> going on</w:t>
      </w:r>
    </w:p>
    <w:p w:rsidR="00EC0ABC" w:rsidRPr="003778C4" w:rsidRDefault="003F630F" w:rsidP="00895047">
      <w:pPr>
        <w:pStyle w:val="PMEBullet"/>
        <w:numPr>
          <w:ilvl w:val="0"/>
          <w:numId w:val="0"/>
        </w:numPr>
        <w:spacing w:line="240" w:lineRule="auto"/>
        <w:ind w:left="785"/>
        <w:rPr>
          <w:rFonts w:cs="Times New Roman"/>
          <w:szCs w:val="24"/>
          <w:lang w:val="en-GB"/>
        </w:rPr>
      </w:pPr>
      <w:r w:rsidRPr="003778C4">
        <w:rPr>
          <w:rFonts w:cs="Times New Roman"/>
          <w:szCs w:val="24"/>
          <w:lang w:val="en-GB"/>
        </w:rPr>
        <w:t xml:space="preserve">2.   </w:t>
      </w:r>
      <w:r w:rsidR="00EC0ABC" w:rsidRPr="003778C4">
        <w:rPr>
          <w:rFonts w:cs="Times New Roman"/>
          <w:szCs w:val="24"/>
          <w:lang w:val="en-GB"/>
        </w:rPr>
        <w:t>Producer of accounts from those e</w:t>
      </w:r>
      <w:r w:rsidR="006746FD" w:rsidRPr="003778C4">
        <w:rPr>
          <w:rFonts w:cs="Times New Roman"/>
          <w:szCs w:val="24"/>
          <w:lang w:val="en-GB"/>
        </w:rPr>
        <w:t>ngaged in activities in context</w:t>
      </w:r>
      <w:r w:rsidR="00EC0ABC" w:rsidRPr="003778C4">
        <w:rPr>
          <w:rFonts w:cs="Times New Roman"/>
          <w:szCs w:val="24"/>
          <w:lang w:val="en-GB"/>
        </w:rPr>
        <w:t xml:space="preserve"> </w:t>
      </w:r>
    </w:p>
    <w:p w:rsidR="006746FD" w:rsidRPr="003778C4" w:rsidRDefault="003F630F" w:rsidP="00895047">
      <w:pPr>
        <w:pStyle w:val="PMEBullet"/>
        <w:numPr>
          <w:ilvl w:val="0"/>
          <w:numId w:val="0"/>
        </w:numPr>
        <w:spacing w:line="240" w:lineRule="auto"/>
        <w:ind w:left="785"/>
        <w:rPr>
          <w:rFonts w:cs="Times New Roman"/>
          <w:szCs w:val="24"/>
          <w:lang w:val="en-GB"/>
        </w:rPr>
      </w:pPr>
      <w:r w:rsidRPr="003778C4">
        <w:rPr>
          <w:rFonts w:cs="Times New Roman"/>
          <w:szCs w:val="24"/>
          <w:lang w:val="en-GB"/>
        </w:rPr>
        <w:t xml:space="preserve">3.   </w:t>
      </w:r>
      <w:r w:rsidR="00EC0ABC" w:rsidRPr="003778C4">
        <w:rPr>
          <w:rFonts w:cs="Times New Roman"/>
          <w:szCs w:val="24"/>
          <w:lang w:val="en-GB"/>
        </w:rPr>
        <w:t xml:space="preserve">Advocate for social or educational change, in terms of policy and/or practice </w:t>
      </w:r>
    </w:p>
    <w:p w:rsidR="00681165" w:rsidRPr="003778C4" w:rsidRDefault="003F630F" w:rsidP="00895047">
      <w:pPr>
        <w:pStyle w:val="PMEBullet"/>
        <w:numPr>
          <w:ilvl w:val="0"/>
          <w:numId w:val="0"/>
        </w:numPr>
        <w:spacing w:line="240" w:lineRule="auto"/>
        <w:ind w:left="785"/>
        <w:rPr>
          <w:rFonts w:cs="Times New Roman"/>
          <w:szCs w:val="24"/>
          <w:lang w:val="en-GB"/>
        </w:rPr>
      </w:pPr>
      <w:r w:rsidRPr="003778C4">
        <w:rPr>
          <w:rFonts w:cs="Times New Roman"/>
          <w:szCs w:val="24"/>
          <w:lang w:val="en-GB"/>
        </w:rPr>
        <w:t xml:space="preserve">4.   </w:t>
      </w:r>
      <w:r w:rsidR="00EC0ABC" w:rsidRPr="003778C4">
        <w:rPr>
          <w:rFonts w:cs="Times New Roman"/>
          <w:szCs w:val="24"/>
          <w:lang w:val="en-GB"/>
        </w:rPr>
        <w:t xml:space="preserve">Activist working alongside those engaged in trying to bring about changes. </w:t>
      </w:r>
    </w:p>
    <w:p w:rsidR="00681165" w:rsidRPr="003778C4" w:rsidRDefault="00681165" w:rsidP="00895047">
      <w:pPr>
        <w:pStyle w:val="PMEBullet"/>
        <w:numPr>
          <w:ilvl w:val="0"/>
          <w:numId w:val="0"/>
        </w:numPr>
        <w:spacing w:line="240" w:lineRule="auto"/>
        <w:ind w:left="785"/>
        <w:rPr>
          <w:rFonts w:cs="Times New Roman"/>
          <w:szCs w:val="24"/>
          <w:lang w:val="en-GB"/>
        </w:rPr>
      </w:pPr>
    </w:p>
    <w:p w:rsidR="006746FD" w:rsidRPr="003778C4" w:rsidRDefault="006746FD" w:rsidP="00895047">
      <w:pPr>
        <w:pStyle w:val="PMEBullet"/>
        <w:numPr>
          <w:ilvl w:val="0"/>
          <w:numId w:val="0"/>
        </w:numPr>
        <w:spacing w:line="240" w:lineRule="auto"/>
        <w:ind w:left="1145" w:hanging="1145"/>
        <w:rPr>
          <w:rFonts w:cs="Times New Roman"/>
          <w:szCs w:val="24"/>
          <w:lang w:val="en-GB"/>
        </w:rPr>
      </w:pPr>
      <w:r w:rsidRPr="003778C4">
        <w:rPr>
          <w:rFonts w:cs="Times New Roman"/>
          <w:szCs w:val="24"/>
          <w:lang w:val="en-GB"/>
        </w:rPr>
        <w:t xml:space="preserve">Our initial work </w:t>
      </w:r>
      <w:r w:rsidR="009F3BDA" w:rsidRPr="003778C4">
        <w:rPr>
          <w:rFonts w:cs="Times New Roman"/>
          <w:szCs w:val="24"/>
          <w:lang w:val="en-GB"/>
        </w:rPr>
        <w:t xml:space="preserve">with the literature above </w:t>
      </w:r>
      <w:r w:rsidRPr="003778C4">
        <w:rPr>
          <w:rFonts w:cs="Times New Roman"/>
          <w:szCs w:val="24"/>
          <w:lang w:val="en-GB"/>
        </w:rPr>
        <w:t>suggested that we needed to unpack role no.1 into:</w:t>
      </w:r>
    </w:p>
    <w:p w:rsidR="003F630F" w:rsidRPr="003778C4" w:rsidRDefault="003F630F" w:rsidP="00895047">
      <w:pPr>
        <w:pStyle w:val="PMEBullet"/>
        <w:numPr>
          <w:ilvl w:val="0"/>
          <w:numId w:val="0"/>
        </w:numPr>
        <w:spacing w:line="240" w:lineRule="auto"/>
        <w:ind w:left="785"/>
        <w:rPr>
          <w:rFonts w:cs="Times New Roman"/>
          <w:szCs w:val="24"/>
          <w:lang w:val="en-GB"/>
        </w:rPr>
      </w:pPr>
      <w:r w:rsidRPr="003778C4">
        <w:rPr>
          <w:rFonts w:cs="Times New Roman"/>
          <w:szCs w:val="24"/>
          <w:lang w:val="en-GB"/>
        </w:rPr>
        <w:t xml:space="preserve">1A. </w:t>
      </w:r>
      <w:r w:rsidR="00D262DD" w:rsidRPr="003778C4">
        <w:rPr>
          <w:rFonts w:cs="Times New Roman"/>
          <w:szCs w:val="24"/>
          <w:lang w:val="en-GB"/>
        </w:rPr>
        <w:t xml:space="preserve">Narrator </w:t>
      </w:r>
      <w:r w:rsidR="006746FD" w:rsidRPr="003778C4">
        <w:rPr>
          <w:rFonts w:cs="Times New Roman"/>
          <w:szCs w:val="24"/>
          <w:lang w:val="en-GB"/>
        </w:rPr>
        <w:t>of the field and its prevalent claims, its extent and its boundaries; and</w:t>
      </w:r>
    </w:p>
    <w:p w:rsidR="00BE3DC1" w:rsidRPr="003778C4" w:rsidRDefault="003F630F" w:rsidP="00895047">
      <w:pPr>
        <w:pStyle w:val="PMEBullet"/>
        <w:numPr>
          <w:ilvl w:val="0"/>
          <w:numId w:val="0"/>
        </w:numPr>
        <w:spacing w:line="240" w:lineRule="auto"/>
        <w:ind w:left="785"/>
        <w:rPr>
          <w:rFonts w:cs="Times New Roman"/>
          <w:szCs w:val="24"/>
          <w:lang w:val="en-GB"/>
        </w:rPr>
      </w:pPr>
      <w:r w:rsidRPr="003778C4">
        <w:rPr>
          <w:rFonts w:cs="Times New Roman"/>
          <w:szCs w:val="24"/>
          <w:lang w:val="en-GB"/>
        </w:rPr>
        <w:t>1B</w:t>
      </w:r>
      <w:proofErr w:type="gramStart"/>
      <w:r w:rsidRPr="003778C4">
        <w:rPr>
          <w:rFonts w:cs="Times New Roman"/>
          <w:szCs w:val="24"/>
          <w:lang w:val="en-GB"/>
        </w:rPr>
        <w:t xml:space="preserve">.  </w:t>
      </w:r>
      <w:r w:rsidR="006746FD" w:rsidRPr="003778C4">
        <w:rPr>
          <w:rFonts w:cs="Times New Roman"/>
          <w:szCs w:val="24"/>
          <w:lang w:val="en-GB"/>
        </w:rPr>
        <w:t>Critic</w:t>
      </w:r>
      <w:proofErr w:type="gramEnd"/>
      <w:r w:rsidR="006746FD" w:rsidRPr="003778C4">
        <w:rPr>
          <w:rFonts w:cs="Times New Roman"/>
          <w:szCs w:val="24"/>
          <w:lang w:val="en-GB"/>
        </w:rPr>
        <w:t xml:space="preserve"> of the field and its claims,</w:t>
      </w:r>
      <w:r w:rsidR="00BE61FF" w:rsidRPr="003778C4">
        <w:rPr>
          <w:rFonts w:cs="Times New Roman"/>
          <w:szCs w:val="24"/>
          <w:lang w:val="en-GB"/>
        </w:rPr>
        <w:t xml:space="preserve"> </w:t>
      </w:r>
      <w:r w:rsidR="004F564B" w:rsidRPr="003778C4">
        <w:rPr>
          <w:rFonts w:cs="Times New Roman"/>
          <w:szCs w:val="24"/>
          <w:lang w:val="en-GB"/>
        </w:rPr>
        <w:t>e</w:t>
      </w:r>
      <w:r w:rsidR="00BE61FF" w:rsidRPr="003778C4">
        <w:rPr>
          <w:rFonts w:cs="Times New Roman"/>
          <w:szCs w:val="24"/>
          <w:lang w:val="en-GB"/>
        </w:rPr>
        <w:t xml:space="preserve">xponent of extending boundaries, </w:t>
      </w:r>
      <w:r w:rsidR="006746FD" w:rsidRPr="003778C4">
        <w:rPr>
          <w:rFonts w:cs="Times New Roman"/>
          <w:szCs w:val="24"/>
          <w:lang w:val="en-GB"/>
        </w:rPr>
        <w:t>etc.</w:t>
      </w:r>
    </w:p>
    <w:p w:rsidR="00681165" w:rsidRPr="003778C4" w:rsidRDefault="00681165" w:rsidP="00895047">
      <w:pPr>
        <w:pStyle w:val="PMEBullet"/>
        <w:numPr>
          <w:ilvl w:val="0"/>
          <w:numId w:val="0"/>
        </w:numPr>
        <w:spacing w:line="240" w:lineRule="auto"/>
        <w:ind w:left="785"/>
        <w:rPr>
          <w:rFonts w:cs="Times New Roman"/>
          <w:szCs w:val="24"/>
          <w:lang w:val="en-GB"/>
        </w:rPr>
      </w:pPr>
    </w:p>
    <w:p w:rsidR="00797C38" w:rsidRPr="003778C4" w:rsidRDefault="00BE3DC1" w:rsidP="00895047">
      <w:pPr>
        <w:pStyle w:val="ICMENormal"/>
        <w:spacing w:after="0" w:line="240" w:lineRule="auto"/>
        <w:rPr>
          <w:rFonts w:cs="Times New Roman"/>
          <w:szCs w:val="24"/>
          <w:lang w:val="en-GB"/>
        </w:rPr>
      </w:pPr>
      <w:r w:rsidRPr="003778C4">
        <w:rPr>
          <w:rFonts w:cs="Times New Roman"/>
          <w:szCs w:val="24"/>
          <w:lang w:val="en-GB"/>
        </w:rPr>
        <w:t xml:space="preserve">Against this backdrop, </w:t>
      </w:r>
      <w:r w:rsidR="00AB2F7E" w:rsidRPr="003778C4">
        <w:rPr>
          <w:rFonts w:cs="Times New Roman"/>
          <w:szCs w:val="24"/>
          <w:lang w:val="en-GB"/>
        </w:rPr>
        <w:t>w</w:t>
      </w:r>
      <w:r w:rsidR="005139A2" w:rsidRPr="003778C4">
        <w:rPr>
          <w:rFonts w:cs="Times New Roman"/>
          <w:szCs w:val="24"/>
          <w:lang w:val="en-GB"/>
        </w:rPr>
        <w:t>e select</w:t>
      </w:r>
      <w:r w:rsidR="000308D8" w:rsidRPr="003778C4">
        <w:rPr>
          <w:rFonts w:cs="Times New Roman"/>
          <w:szCs w:val="24"/>
          <w:lang w:val="en-GB"/>
        </w:rPr>
        <w:t>ed</w:t>
      </w:r>
      <w:r w:rsidR="005139A2" w:rsidRPr="003778C4">
        <w:rPr>
          <w:rFonts w:cs="Times New Roman"/>
          <w:szCs w:val="24"/>
          <w:lang w:val="en-GB"/>
        </w:rPr>
        <w:t xml:space="preserve"> </w:t>
      </w:r>
      <w:r w:rsidR="00CB7711" w:rsidRPr="003778C4">
        <w:rPr>
          <w:rFonts w:cs="Times New Roman"/>
          <w:szCs w:val="24"/>
          <w:lang w:val="en-GB"/>
        </w:rPr>
        <w:t xml:space="preserve">a range of </w:t>
      </w:r>
      <w:r w:rsidR="005139A2" w:rsidRPr="003778C4">
        <w:rPr>
          <w:rFonts w:cs="Times New Roman"/>
          <w:szCs w:val="24"/>
          <w:lang w:val="en-GB"/>
        </w:rPr>
        <w:t xml:space="preserve">publications to </w:t>
      </w:r>
      <w:r w:rsidR="00A528AF" w:rsidRPr="003778C4">
        <w:rPr>
          <w:rFonts w:cs="Times New Roman"/>
          <w:szCs w:val="24"/>
          <w:lang w:val="en-GB"/>
        </w:rPr>
        <w:t xml:space="preserve">illustrate </w:t>
      </w:r>
      <w:r w:rsidR="00CB7711" w:rsidRPr="003778C4">
        <w:rPr>
          <w:rFonts w:cs="Times New Roman"/>
          <w:szCs w:val="24"/>
          <w:lang w:val="en-GB"/>
        </w:rPr>
        <w:t>the ways in which</w:t>
      </w:r>
      <w:r w:rsidRPr="003778C4">
        <w:rPr>
          <w:rFonts w:cs="Times New Roman"/>
          <w:szCs w:val="24"/>
          <w:lang w:val="en-GB"/>
        </w:rPr>
        <w:t xml:space="preserve"> mathematics education or numeracy researchers </w:t>
      </w:r>
      <w:r w:rsidR="005139A2" w:rsidRPr="003778C4">
        <w:rPr>
          <w:rFonts w:cs="Times New Roman"/>
          <w:szCs w:val="24"/>
          <w:lang w:val="en-GB"/>
        </w:rPr>
        <w:t xml:space="preserve">are </w:t>
      </w:r>
      <w:r w:rsidRPr="003778C4">
        <w:rPr>
          <w:rFonts w:cs="Times New Roman"/>
          <w:szCs w:val="24"/>
          <w:lang w:val="en-GB"/>
        </w:rPr>
        <w:t>act</w:t>
      </w:r>
      <w:r w:rsidR="00CC0F2F" w:rsidRPr="003778C4">
        <w:rPr>
          <w:rFonts w:cs="Times New Roman"/>
          <w:szCs w:val="24"/>
          <w:lang w:val="en-GB"/>
        </w:rPr>
        <w:t>ing</w:t>
      </w:r>
      <w:r w:rsidR="00797C38" w:rsidRPr="003778C4">
        <w:rPr>
          <w:rFonts w:cs="Times New Roman"/>
          <w:szCs w:val="24"/>
          <w:lang w:val="en-GB"/>
        </w:rPr>
        <w:t>, through their publications,</w:t>
      </w:r>
      <w:r w:rsidRPr="003778C4">
        <w:rPr>
          <w:rFonts w:cs="Times New Roman"/>
          <w:szCs w:val="24"/>
          <w:lang w:val="en-GB"/>
        </w:rPr>
        <w:t xml:space="preserve"> in the policy space </w:t>
      </w:r>
      <w:r w:rsidR="00797C38" w:rsidRPr="003778C4">
        <w:rPr>
          <w:rFonts w:cs="Times New Roman"/>
          <w:szCs w:val="24"/>
          <w:lang w:val="en-GB"/>
        </w:rPr>
        <w:t>around the PIAAC agenda</w:t>
      </w:r>
      <w:r w:rsidR="004F564B" w:rsidRPr="003778C4">
        <w:rPr>
          <w:rFonts w:cs="Times New Roman"/>
          <w:szCs w:val="24"/>
          <w:lang w:val="en-GB"/>
        </w:rPr>
        <w:t>.</w:t>
      </w:r>
      <w:r w:rsidR="00797C38" w:rsidRPr="003778C4">
        <w:rPr>
          <w:rFonts w:cs="Times New Roman"/>
          <w:szCs w:val="24"/>
          <w:lang w:val="en-GB"/>
        </w:rPr>
        <w:t xml:space="preserve"> The following types of publications </w:t>
      </w:r>
      <w:r w:rsidR="000308D8" w:rsidRPr="003778C4">
        <w:rPr>
          <w:rFonts w:cs="Times New Roman"/>
          <w:szCs w:val="24"/>
          <w:lang w:val="en-GB"/>
        </w:rPr>
        <w:t>we</w:t>
      </w:r>
      <w:r w:rsidR="00797C38" w:rsidRPr="003778C4">
        <w:rPr>
          <w:rFonts w:cs="Times New Roman"/>
          <w:szCs w:val="24"/>
          <w:lang w:val="en-GB"/>
        </w:rPr>
        <w:t xml:space="preserve">re given priority </w:t>
      </w:r>
      <w:r w:rsidR="000308D8" w:rsidRPr="003778C4">
        <w:rPr>
          <w:rFonts w:cs="Times New Roman"/>
          <w:szCs w:val="24"/>
          <w:lang w:val="en-GB"/>
        </w:rPr>
        <w:t xml:space="preserve">at </w:t>
      </w:r>
      <w:r w:rsidR="00797C38" w:rsidRPr="003778C4">
        <w:rPr>
          <w:rFonts w:cs="Times New Roman"/>
          <w:szCs w:val="24"/>
          <w:lang w:val="en-GB"/>
        </w:rPr>
        <w:t>this st</w:t>
      </w:r>
      <w:r w:rsidR="000308D8" w:rsidRPr="003778C4">
        <w:rPr>
          <w:rFonts w:cs="Times New Roman"/>
          <w:szCs w:val="24"/>
          <w:lang w:val="en-GB"/>
        </w:rPr>
        <w:t>age</w:t>
      </w:r>
      <w:r w:rsidR="00797C38" w:rsidRPr="003778C4">
        <w:rPr>
          <w:rFonts w:cs="Times New Roman"/>
          <w:szCs w:val="24"/>
          <w:lang w:val="en-GB"/>
        </w:rPr>
        <w:t xml:space="preserve">: </w:t>
      </w:r>
    </w:p>
    <w:p w:rsidR="00797C38" w:rsidRPr="003778C4" w:rsidRDefault="00797C38" w:rsidP="00895047">
      <w:pPr>
        <w:pStyle w:val="PMEBullet"/>
        <w:numPr>
          <w:ilvl w:val="0"/>
          <w:numId w:val="16"/>
        </w:numPr>
        <w:spacing w:line="240" w:lineRule="auto"/>
        <w:rPr>
          <w:rFonts w:cs="Times New Roman"/>
          <w:szCs w:val="24"/>
          <w:lang w:val="en-GB"/>
        </w:rPr>
      </w:pPr>
      <w:r w:rsidRPr="003778C4">
        <w:rPr>
          <w:rFonts w:cs="Times New Roman"/>
          <w:szCs w:val="24"/>
          <w:lang w:val="en-GB"/>
        </w:rPr>
        <w:t xml:space="preserve">those appearing in publications primarily addressed to mathematics education or adult numeracy </w:t>
      </w:r>
      <w:r w:rsidR="00BB483D" w:rsidRPr="003778C4">
        <w:rPr>
          <w:rFonts w:cs="Times New Roman"/>
          <w:szCs w:val="24"/>
          <w:lang w:val="en-GB"/>
        </w:rPr>
        <w:t>and</w:t>
      </w:r>
      <w:r w:rsidRPr="003778C4">
        <w:rPr>
          <w:rFonts w:cs="Times New Roman"/>
          <w:szCs w:val="24"/>
          <w:lang w:val="en-GB"/>
        </w:rPr>
        <w:t xml:space="preserve"> literacy </w:t>
      </w:r>
      <w:r w:rsidR="00B06CBF" w:rsidRPr="003778C4">
        <w:rPr>
          <w:rFonts w:cs="Times New Roman"/>
          <w:szCs w:val="24"/>
          <w:lang w:val="en-GB"/>
        </w:rPr>
        <w:t>researchers</w:t>
      </w:r>
      <w:r w:rsidRPr="003778C4">
        <w:rPr>
          <w:rFonts w:cs="Times New Roman"/>
          <w:szCs w:val="24"/>
          <w:lang w:val="en-GB"/>
        </w:rPr>
        <w:t xml:space="preserve">; </w:t>
      </w:r>
    </w:p>
    <w:p w:rsidR="00797C38" w:rsidRPr="003778C4" w:rsidRDefault="00B06CBF" w:rsidP="00895047">
      <w:pPr>
        <w:pStyle w:val="PMEBullet"/>
        <w:numPr>
          <w:ilvl w:val="0"/>
          <w:numId w:val="16"/>
        </w:numPr>
        <w:spacing w:line="240" w:lineRule="auto"/>
        <w:rPr>
          <w:rFonts w:cs="Times New Roman"/>
          <w:szCs w:val="24"/>
          <w:lang w:val="en-GB"/>
        </w:rPr>
      </w:pPr>
      <w:r w:rsidRPr="003778C4">
        <w:rPr>
          <w:rFonts w:cs="Times New Roman"/>
          <w:szCs w:val="24"/>
          <w:lang w:val="en-GB"/>
        </w:rPr>
        <w:t xml:space="preserve">those </w:t>
      </w:r>
      <w:r w:rsidR="00797C38" w:rsidRPr="003778C4">
        <w:rPr>
          <w:rFonts w:cs="Times New Roman"/>
          <w:szCs w:val="24"/>
          <w:lang w:val="en-GB"/>
        </w:rPr>
        <w:t>written by or with mathematics education researchers or those working in the adult numeracy and literacy field;</w:t>
      </w:r>
    </w:p>
    <w:p w:rsidR="00797C38" w:rsidRPr="003778C4" w:rsidRDefault="00B06CBF" w:rsidP="00895047">
      <w:pPr>
        <w:pStyle w:val="PMEBullet"/>
        <w:numPr>
          <w:ilvl w:val="0"/>
          <w:numId w:val="16"/>
        </w:numPr>
        <w:spacing w:line="240" w:lineRule="auto"/>
        <w:rPr>
          <w:rFonts w:cs="Times New Roman"/>
          <w:szCs w:val="24"/>
          <w:lang w:val="en-GB"/>
        </w:rPr>
      </w:pPr>
      <w:proofErr w:type="gramStart"/>
      <w:r w:rsidRPr="003778C4">
        <w:rPr>
          <w:rFonts w:cs="Times New Roman"/>
          <w:szCs w:val="24"/>
          <w:lang w:val="en-GB"/>
        </w:rPr>
        <w:t>those</w:t>
      </w:r>
      <w:proofErr w:type="gramEnd"/>
      <w:r w:rsidRPr="003778C4">
        <w:rPr>
          <w:rFonts w:cs="Times New Roman"/>
          <w:szCs w:val="24"/>
          <w:lang w:val="en-GB"/>
        </w:rPr>
        <w:t xml:space="preserve"> </w:t>
      </w:r>
      <w:r w:rsidR="009E22D7" w:rsidRPr="003778C4">
        <w:rPr>
          <w:rFonts w:cs="Times New Roman"/>
          <w:szCs w:val="24"/>
          <w:lang w:val="en-GB"/>
        </w:rPr>
        <w:t>focus</w:t>
      </w:r>
      <w:r w:rsidR="00797C38" w:rsidRPr="003778C4">
        <w:rPr>
          <w:rFonts w:cs="Times New Roman"/>
          <w:szCs w:val="24"/>
          <w:lang w:val="en-GB"/>
        </w:rPr>
        <w:t xml:space="preserve">ing on PIAAC (solely or mainly). </w:t>
      </w:r>
    </w:p>
    <w:p w:rsidR="00681165" w:rsidRPr="003778C4" w:rsidRDefault="00681165" w:rsidP="00895047">
      <w:pPr>
        <w:pStyle w:val="PMEBullet"/>
        <w:numPr>
          <w:ilvl w:val="0"/>
          <w:numId w:val="0"/>
        </w:numPr>
        <w:spacing w:line="240" w:lineRule="auto"/>
        <w:ind w:left="1145"/>
        <w:rPr>
          <w:rFonts w:cs="Times New Roman"/>
          <w:szCs w:val="24"/>
          <w:lang w:val="en-GB"/>
        </w:rPr>
      </w:pPr>
    </w:p>
    <w:p w:rsidR="007A7250" w:rsidRPr="003778C4" w:rsidRDefault="00797C38" w:rsidP="00895047">
      <w:pPr>
        <w:pStyle w:val="ICMENormal"/>
        <w:spacing w:after="0" w:line="240" w:lineRule="auto"/>
        <w:rPr>
          <w:rFonts w:cs="Times New Roman"/>
          <w:szCs w:val="24"/>
          <w:lang w:val="en-GB"/>
        </w:rPr>
      </w:pPr>
      <w:r w:rsidRPr="003778C4">
        <w:rPr>
          <w:rFonts w:cs="Times New Roman"/>
          <w:szCs w:val="24"/>
          <w:lang w:val="en-GB"/>
        </w:rPr>
        <w:t xml:space="preserve">The inclusion criteria for this initial study are admittedly restrictive; however, we are aiming to focus on the role (if any) of </w:t>
      </w:r>
      <w:r w:rsidR="006D27FF" w:rsidRPr="003778C4">
        <w:rPr>
          <w:rFonts w:cs="Times New Roman"/>
          <w:szCs w:val="24"/>
          <w:lang w:val="en-GB"/>
        </w:rPr>
        <w:t xml:space="preserve">adult </w:t>
      </w:r>
      <w:r w:rsidRPr="003778C4">
        <w:rPr>
          <w:rFonts w:cs="Times New Roman"/>
          <w:szCs w:val="24"/>
          <w:lang w:val="en-GB"/>
        </w:rPr>
        <w:t xml:space="preserve">mathematics education/ adult numeracy researchers as policy actors, and to </w:t>
      </w:r>
      <w:r w:rsidR="00B06CBF" w:rsidRPr="003778C4">
        <w:rPr>
          <w:rFonts w:cs="Times New Roman"/>
          <w:szCs w:val="24"/>
          <w:lang w:val="en-GB"/>
        </w:rPr>
        <w:t xml:space="preserve">point the way towards a </w:t>
      </w:r>
      <w:r w:rsidR="005139A2" w:rsidRPr="003778C4">
        <w:rPr>
          <w:rFonts w:cs="Times New Roman"/>
          <w:szCs w:val="24"/>
          <w:lang w:val="en-GB"/>
        </w:rPr>
        <w:t xml:space="preserve">larger </w:t>
      </w:r>
      <w:r w:rsidR="00B06CBF" w:rsidRPr="003778C4">
        <w:rPr>
          <w:rFonts w:cs="Times New Roman"/>
          <w:szCs w:val="24"/>
          <w:lang w:val="en-GB"/>
        </w:rPr>
        <w:t>study</w:t>
      </w:r>
      <w:r w:rsidRPr="003778C4">
        <w:rPr>
          <w:rFonts w:cs="Times New Roman"/>
          <w:szCs w:val="24"/>
          <w:lang w:val="en-GB"/>
        </w:rPr>
        <w:t>.</w:t>
      </w:r>
      <w:r w:rsidR="000308D8" w:rsidRPr="003778C4">
        <w:rPr>
          <w:rFonts w:cs="Times New Roman"/>
          <w:szCs w:val="24"/>
          <w:lang w:val="en-GB"/>
        </w:rPr>
        <w:t xml:space="preserve"> </w:t>
      </w:r>
      <w:r w:rsidR="000205CC" w:rsidRPr="003778C4">
        <w:rPr>
          <w:rFonts w:cs="Times New Roman"/>
          <w:szCs w:val="24"/>
          <w:lang w:val="en-GB"/>
        </w:rPr>
        <w:t>It is also worth noting that at the time of underta</w:t>
      </w:r>
      <w:r w:rsidR="00681165" w:rsidRPr="003778C4">
        <w:rPr>
          <w:rFonts w:cs="Times New Roman"/>
          <w:szCs w:val="24"/>
          <w:lang w:val="en-GB"/>
        </w:rPr>
        <w:t>k</w:t>
      </w:r>
      <w:r w:rsidR="000205CC" w:rsidRPr="003778C4">
        <w:rPr>
          <w:rFonts w:cs="Times New Roman"/>
          <w:szCs w:val="24"/>
          <w:lang w:val="en-GB"/>
        </w:rPr>
        <w:t xml:space="preserve">ing this study, there was not a large selection of publications that </w:t>
      </w:r>
      <w:r w:rsidR="001E3583" w:rsidRPr="003778C4">
        <w:rPr>
          <w:rFonts w:cs="Times New Roman"/>
          <w:szCs w:val="24"/>
          <w:lang w:val="en-GB"/>
        </w:rPr>
        <w:t xml:space="preserve">met </w:t>
      </w:r>
      <w:r w:rsidR="000205CC" w:rsidRPr="003778C4">
        <w:rPr>
          <w:rFonts w:cs="Times New Roman"/>
          <w:szCs w:val="24"/>
          <w:lang w:val="en-GB"/>
        </w:rPr>
        <w:t>these criteria</w:t>
      </w:r>
      <w:r w:rsidR="007A7250" w:rsidRPr="003778C4">
        <w:rPr>
          <w:rFonts w:cs="Times New Roman"/>
          <w:szCs w:val="24"/>
          <w:lang w:val="en-GB"/>
        </w:rPr>
        <w:t>; it could be anticipated that there would be a pool of suitable publications as more researchers engage with the PIAAC results</w:t>
      </w:r>
      <w:r w:rsidR="000205CC" w:rsidRPr="003778C4">
        <w:rPr>
          <w:rFonts w:cs="Times New Roman"/>
          <w:szCs w:val="24"/>
          <w:lang w:val="en-GB"/>
        </w:rPr>
        <w:t xml:space="preserve">. </w:t>
      </w:r>
      <w:r w:rsidR="000308D8" w:rsidRPr="003778C4">
        <w:rPr>
          <w:rFonts w:cs="Times New Roman"/>
          <w:szCs w:val="24"/>
          <w:lang w:val="en-GB"/>
        </w:rPr>
        <w:t xml:space="preserve">Thus we began by choosing Tout </w:t>
      </w:r>
      <w:r w:rsidR="007A7250" w:rsidRPr="003778C4">
        <w:rPr>
          <w:rFonts w:cs="Times New Roman"/>
          <w:szCs w:val="24"/>
          <w:lang w:val="en-GB"/>
        </w:rPr>
        <w:t xml:space="preserve">and </w:t>
      </w:r>
      <w:r w:rsidR="000308D8" w:rsidRPr="003778C4">
        <w:rPr>
          <w:rFonts w:cs="Times New Roman"/>
          <w:szCs w:val="24"/>
          <w:lang w:val="en-GB"/>
        </w:rPr>
        <w:t xml:space="preserve">Gal (2015), Jablonka (2015) and Straesser, (2015) which were published in a special issue on Numeracy of </w:t>
      </w:r>
      <w:r w:rsidR="000308D8" w:rsidRPr="003778C4">
        <w:rPr>
          <w:rFonts w:cs="Times New Roman"/>
          <w:i/>
          <w:szCs w:val="24"/>
          <w:lang w:val="en-GB"/>
        </w:rPr>
        <w:t>ZDM Mathematics Education</w:t>
      </w:r>
      <w:r w:rsidR="000308D8" w:rsidRPr="003778C4">
        <w:rPr>
          <w:rFonts w:cs="Times New Roman"/>
          <w:szCs w:val="24"/>
          <w:lang w:val="en-GB"/>
        </w:rPr>
        <w:t xml:space="preserve">. Carpentieri (2015) is a chapter from an edited collection on </w:t>
      </w:r>
      <w:r w:rsidR="000308D8" w:rsidRPr="003778C4">
        <w:rPr>
          <w:rFonts w:cs="Times New Roman"/>
          <w:i/>
          <w:szCs w:val="24"/>
          <w:lang w:val="en-GB"/>
        </w:rPr>
        <w:t>Literacy as Numbers</w:t>
      </w:r>
      <w:r w:rsidR="000308D8" w:rsidRPr="003778C4">
        <w:rPr>
          <w:rFonts w:cs="Times New Roman"/>
          <w:szCs w:val="24"/>
          <w:lang w:val="en-GB"/>
        </w:rPr>
        <w:t xml:space="preserve"> (Hamilton, Maddox &amp; </w:t>
      </w:r>
      <w:proofErr w:type="spellStart"/>
      <w:r w:rsidR="000308D8" w:rsidRPr="003778C4">
        <w:rPr>
          <w:rFonts w:cs="Times New Roman"/>
          <w:szCs w:val="24"/>
          <w:lang w:val="en-GB"/>
        </w:rPr>
        <w:t>Addey</w:t>
      </w:r>
      <w:proofErr w:type="spellEnd"/>
      <w:r w:rsidR="000308D8" w:rsidRPr="003778C4">
        <w:rPr>
          <w:rFonts w:cs="Times New Roman"/>
          <w:szCs w:val="24"/>
          <w:lang w:val="en-GB"/>
        </w:rPr>
        <w:t xml:space="preserve">, 2015). St. Clair </w:t>
      </w:r>
      <w:r w:rsidR="00CC0F2F" w:rsidRPr="003778C4">
        <w:rPr>
          <w:rFonts w:cs="Times New Roman"/>
          <w:szCs w:val="24"/>
          <w:lang w:val="en-GB"/>
        </w:rPr>
        <w:t xml:space="preserve">(2014) </w:t>
      </w:r>
      <w:r w:rsidR="000308D8" w:rsidRPr="003778C4">
        <w:rPr>
          <w:rFonts w:cs="Times New Roman"/>
          <w:szCs w:val="24"/>
          <w:lang w:val="en-GB"/>
        </w:rPr>
        <w:t xml:space="preserve">is based on a talk to a recent adult education research conference, and Reder (2015) is an opinion piece posted on Spotlight on Opportunity and Poverty, a US online policy discussion forum. </w:t>
      </w:r>
    </w:p>
    <w:p w:rsidR="00797C38" w:rsidRPr="003778C4" w:rsidRDefault="00797C38" w:rsidP="00895047">
      <w:pPr>
        <w:pStyle w:val="ICMENormal"/>
        <w:spacing w:after="0" w:line="240" w:lineRule="auto"/>
        <w:rPr>
          <w:rFonts w:cs="Times New Roman"/>
          <w:szCs w:val="24"/>
          <w:lang w:val="en-GB"/>
        </w:rPr>
      </w:pPr>
      <w:r w:rsidRPr="003778C4">
        <w:rPr>
          <w:rFonts w:cs="Times New Roman"/>
          <w:szCs w:val="24"/>
          <w:lang w:val="en-GB"/>
        </w:rPr>
        <w:t xml:space="preserve">The </w:t>
      </w:r>
      <w:r w:rsidR="007A7250" w:rsidRPr="003778C4">
        <w:rPr>
          <w:rFonts w:cs="Times New Roman"/>
          <w:szCs w:val="24"/>
          <w:lang w:val="en-GB"/>
        </w:rPr>
        <w:t xml:space="preserve">selected </w:t>
      </w:r>
      <w:r w:rsidRPr="003778C4">
        <w:rPr>
          <w:rFonts w:cs="Times New Roman"/>
          <w:szCs w:val="24"/>
          <w:lang w:val="en-GB"/>
        </w:rPr>
        <w:t>publications we</w:t>
      </w:r>
      <w:r w:rsidR="000F6D85" w:rsidRPr="003778C4">
        <w:rPr>
          <w:rFonts w:cs="Times New Roman"/>
          <w:szCs w:val="24"/>
          <w:lang w:val="en-GB"/>
        </w:rPr>
        <w:t>re</w:t>
      </w:r>
      <w:r w:rsidRPr="003778C4">
        <w:rPr>
          <w:rFonts w:cs="Times New Roman"/>
          <w:szCs w:val="24"/>
          <w:lang w:val="en-GB"/>
        </w:rPr>
        <w:t xml:space="preserve"> interrogated via the following questions:</w:t>
      </w:r>
    </w:p>
    <w:p w:rsidR="00797C38" w:rsidRPr="003778C4" w:rsidRDefault="00797C38" w:rsidP="00895047">
      <w:pPr>
        <w:pStyle w:val="PMEBullet"/>
        <w:spacing w:line="240" w:lineRule="auto"/>
        <w:rPr>
          <w:rFonts w:cs="Times New Roman"/>
          <w:szCs w:val="24"/>
          <w:lang w:val="en-GB"/>
        </w:rPr>
      </w:pPr>
      <w:r w:rsidRPr="003778C4">
        <w:rPr>
          <w:rFonts w:cs="Times New Roman"/>
          <w:szCs w:val="24"/>
          <w:lang w:val="en-GB"/>
        </w:rPr>
        <w:t xml:space="preserve">What </w:t>
      </w:r>
      <w:r w:rsidR="00475209" w:rsidRPr="003778C4">
        <w:rPr>
          <w:rFonts w:cs="Times New Roman"/>
          <w:szCs w:val="24"/>
          <w:lang w:val="en-GB"/>
        </w:rPr>
        <w:t>aims</w:t>
      </w:r>
      <w:r w:rsidRPr="003778C4">
        <w:rPr>
          <w:rFonts w:cs="Times New Roman"/>
          <w:szCs w:val="24"/>
          <w:lang w:val="en-GB"/>
        </w:rPr>
        <w:t xml:space="preserve"> </w:t>
      </w:r>
      <w:r w:rsidR="005B519B" w:rsidRPr="003778C4">
        <w:rPr>
          <w:rFonts w:cs="Times New Roman"/>
          <w:szCs w:val="24"/>
          <w:lang w:val="en-GB"/>
        </w:rPr>
        <w:t>(</w:t>
      </w:r>
      <w:r w:rsidRPr="003778C4">
        <w:rPr>
          <w:rFonts w:cs="Times New Roman"/>
          <w:szCs w:val="24"/>
          <w:lang w:val="en-GB"/>
        </w:rPr>
        <w:t>stated or implied</w:t>
      </w:r>
      <w:r w:rsidR="005B519B" w:rsidRPr="003778C4">
        <w:rPr>
          <w:rFonts w:cs="Times New Roman"/>
          <w:szCs w:val="24"/>
          <w:lang w:val="en-GB"/>
        </w:rPr>
        <w:t xml:space="preserve">) and perspectives </w:t>
      </w:r>
      <w:r w:rsidRPr="003778C4">
        <w:rPr>
          <w:rFonts w:cs="Times New Roman"/>
          <w:szCs w:val="24"/>
          <w:lang w:val="en-GB"/>
        </w:rPr>
        <w:t xml:space="preserve">do the authors bring to their </w:t>
      </w:r>
      <w:r w:rsidR="00475209" w:rsidRPr="003778C4">
        <w:rPr>
          <w:rFonts w:cs="Times New Roman"/>
          <w:szCs w:val="24"/>
          <w:lang w:val="en-GB"/>
        </w:rPr>
        <w:t>examination of PIAAC?</w:t>
      </w:r>
    </w:p>
    <w:p w:rsidR="00797C38" w:rsidRPr="003778C4" w:rsidRDefault="00797C38" w:rsidP="00895047">
      <w:pPr>
        <w:pStyle w:val="PMEBullet"/>
        <w:spacing w:line="240" w:lineRule="auto"/>
        <w:rPr>
          <w:rFonts w:cs="Times New Roman"/>
          <w:szCs w:val="24"/>
          <w:lang w:val="en-GB"/>
        </w:rPr>
      </w:pPr>
      <w:r w:rsidRPr="003778C4">
        <w:rPr>
          <w:rFonts w:cs="Times New Roman"/>
          <w:szCs w:val="24"/>
          <w:lang w:val="en-GB"/>
        </w:rPr>
        <w:t>How do the authors position themselves in relation to the OECD</w:t>
      </w:r>
      <w:r w:rsidR="00475209" w:rsidRPr="003778C4">
        <w:rPr>
          <w:rFonts w:cs="Times New Roman"/>
          <w:szCs w:val="24"/>
          <w:lang w:val="en-GB"/>
        </w:rPr>
        <w:t xml:space="preserve"> or conceptions of Numeracy in the PIAAC?</w:t>
      </w:r>
    </w:p>
    <w:p w:rsidR="00797C38" w:rsidRPr="003778C4" w:rsidRDefault="00797C38" w:rsidP="00895047">
      <w:pPr>
        <w:pStyle w:val="PMEBullet"/>
        <w:spacing w:line="240" w:lineRule="auto"/>
        <w:rPr>
          <w:rFonts w:cs="Times New Roman"/>
          <w:szCs w:val="24"/>
          <w:lang w:val="en-GB"/>
        </w:rPr>
      </w:pPr>
      <w:r w:rsidRPr="003778C4">
        <w:rPr>
          <w:rFonts w:cs="Times New Roman"/>
          <w:szCs w:val="24"/>
          <w:lang w:val="en-GB"/>
        </w:rPr>
        <w:t>Are the authors seeking explicitly to influence policy; if so</w:t>
      </w:r>
      <w:r w:rsidR="005B519B" w:rsidRPr="003778C4">
        <w:rPr>
          <w:rFonts w:cs="Times New Roman"/>
          <w:szCs w:val="24"/>
          <w:lang w:val="en-GB"/>
        </w:rPr>
        <w:t>,</w:t>
      </w:r>
      <w:r w:rsidRPr="003778C4">
        <w:rPr>
          <w:rFonts w:cs="Times New Roman"/>
          <w:szCs w:val="24"/>
          <w:lang w:val="en-GB"/>
        </w:rPr>
        <w:t xml:space="preserve"> at what level</w:t>
      </w:r>
      <w:r w:rsidR="005B519B" w:rsidRPr="003778C4">
        <w:rPr>
          <w:rFonts w:cs="Times New Roman"/>
          <w:szCs w:val="24"/>
          <w:lang w:val="en-GB"/>
        </w:rPr>
        <w:t xml:space="preserve"> and using what resources</w:t>
      </w:r>
      <w:r w:rsidRPr="003778C4">
        <w:rPr>
          <w:rFonts w:cs="Times New Roman"/>
          <w:szCs w:val="24"/>
          <w:lang w:val="en-GB"/>
        </w:rPr>
        <w:t>?</w:t>
      </w:r>
    </w:p>
    <w:p w:rsidR="007A7250" w:rsidRPr="003778C4" w:rsidRDefault="007A7250" w:rsidP="00895047">
      <w:pPr>
        <w:pStyle w:val="PMEBullet"/>
        <w:numPr>
          <w:ilvl w:val="0"/>
          <w:numId w:val="0"/>
        </w:numPr>
        <w:spacing w:line="240" w:lineRule="auto"/>
        <w:rPr>
          <w:rFonts w:cs="Times New Roman"/>
          <w:szCs w:val="24"/>
        </w:rPr>
      </w:pPr>
      <w:r w:rsidRPr="003778C4">
        <w:rPr>
          <w:rFonts w:cs="Times New Roman"/>
          <w:szCs w:val="24"/>
        </w:rPr>
        <w:t>Following the analysis of the publications, each publication was classified according to the typology of policy roles outlined above.</w:t>
      </w:r>
    </w:p>
    <w:p w:rsidR="003778C4" w:rsidRDefault="003778C4" w:rsidP="00895047">
      <w:pPr>
        <w:pStyle w:val="ICMEHeading2"/>
        <w:spacing w:before="0" w:after="0" w:line="240" w:lineRule="auto"/>
        <w:rPr>
          <w:rFonts w:cs="Times New Roman"/>
          <w:szCs w:val="24"/>
          <w:lang w:val="en-GB"/>
        </w:rPr>
      </w:pPr>
    </w:p>
    <w:p w:rsidR="005761C3" w:rsidRDefault="006D27FF" w:rsidP="00895047">
      <w:pPr>
        <w:pStyle w:val="ICMEHeading2"/>
        <w:spacing w:before="0" w:after="0" w:line="240" w:lineRule="auto"/>
        <w:rPr>
          <w:rFonts w:cs="Times New Roman"/>
          <w:szCs w:val="24"/>
          <w:lang w:val="en-GB"/>
        </w:rPr>
      </w:pPr>
      <w:r w:rsidRPr="003778C4">
        <w:rPr>
          <w:rFonts w:cs="Times New Roman"/>
          <w:szCs w:val="24"/>
          <w:lang w:val="en-GB"/>
        </w:rPr>
        <w:t>Analyses of a selection of research publications</w:t>
      </w:r>
    </w:p>
    <w:p w:rsidR="00895047" w:rsidRPr="003778C4" w:rsidRDefault="00895047" w:rsidP="00895047">
      <w:pPr>
        <w:pStyle w:val="ICMEHeading2"/>
        <w:spacing w:before="0" w:after="0" w:line="240" w:lineRule="auto"/>
        <w:rPr>
          <w:rFonts w:cs="Times New Roman"/>
          <w:szCs w:val="24"/>
          <w:lang w:val="en-GB"/>
        </w:rPr>
      </w:pPr>
    </w:p>
    <w:p w:rsidR="00160A2A" w:rsidRPr="003778C4" w:rsidRDefault="005015BA" w:rsidP="00895047">
      <w:pPr>
        <w:pStyle w:val="ICMENormal"/>
        <w:spacing w:after="0" w:line="240" w:lineRule="auto"/>
        <w:rPr>
          <w:rFonts w:cs="Times New Roman"/>
          <w:szCs w:val="24"/>
          <w:lang w:val="en-GB"/>
        </w:rPr>
      </w:pPr>
      <w:r w:rsidRPr="003778C4">
        <w:rPr>
          <w:rFonts w:cs="Times New Roman"/>
          <w:b/>
          <w:i/>
          <w:szCs w:val="24"/>
          <w:lang w:val="en-GB"/>
        </w:rPr>
        <w:t>Tout and Gal</w:t>
      </w:r>
      <w:r w:rsidRPr="003778C4">
        <w:rPr>
          <w:rFonts w:cs="Times New Roman"/>
          <w:szCs w:val="24"/>
          <w:lang w:val="en-GB"/>
        </w:rPr>
        <w:t xml:space="preserve"> </w:t>
      </w:r>
      <w:proofErr w:type="gramStart"/>
      <w:r w:rsidRPr="003778C4">
        <w:rPr>
          <w:rFonts w:cs="Times New Roman"/>
          <w:szCs w:val="24"/>
          <w:lang w:val="en-GB"/>
        </w:rPr>
        <w:t>give</w:t>
      </w:r>
      <w:proofErr w:type="gramEnd"/>
      <w:r w:rsidRPr="003778C4">
        <w:rPr>
          <w:rFonts w:cs="Times New Roman"/>
          <w:szCs w:val="24"/>
          <w:lang w:val="en-GB"/>
        </w:rPr>
        <w:t xml:space="preserve"> voice to </w:t>
      </w:r>
      <w:r w:rsidR="00C16591" w:rsidRPr="003778C4">
        <w:rPr>
          <w:rFonts w:cs="Times New Roman"/>
          <w:szCs w:val="24"/>
          <w:lang w:val="en-GB"/>
        </w:rPr>
        <w:t xml:space="preserve">ongoing concerns of </w:t>
      </w:r>
      <w:r w:rsidRPr="003778C4">
        <w:rPr>
          <w:rFonts w:cs="Times New Roman"/>
          <w:szCs w:val="24"/>
          <w:lang w:val="en-GB"/>
        </w:rPr>
        <w:t xml:space="preserve">the OECD </w:t>
      </w:r>
      <w:r w:rsidR="00C16591" w:rsidRPr="003778C4">
        <w:rPr>
          <w:rFonts w:cs="Times New Roman"/>
          <w:szCs w:val="24"/>
          <w:lang w:val="en-GB"/>
        </w:rPr>
        <w:t xml:space="preserve">in </w:t>
      </w:r>
      <w:r w:rsidRPr="003778C4">
        <w:rPr>
          <w:rFonts w:cs="Times New Roman"/>
          <w:szCs w:val="24"/>
          <w:lang w:val="en-GB"/>
        </w:rPr>
        <w:t>their article. Their comparative analysis of ML and N in the PISA and PIAAC, respectively, provides a justification for the OECD’s design of the</w:t>
      </w:r>
      <w:r w:rsidR="00C16591" w:rsidRPr="003778C4">
        <w:rPr>
          <w:rFonts w:cs="Times New Roman"/>
          <w:szCs w:val="24"/>
          <w:lang w:val="en-GB"/>
        </w:rPr>
        <w:t>se two studies</w:t>
      </w:r>
      <w:r w:rsidRPr="003778C4">
        <w:rPr>
          <w:rFonts w:cs="Times New Roman"/>
          <w:szCs w:val="24"/>
          <w:lang w:val="en-GB"/>
        </w:rPr>
        <w:t xml:space="preserve"> </w:t>
      </w:r>
      <w:r w:rsidR="00160A2A" w:rsidRPr="003778C4">
        <w:rPr>
          <w:rFonts w:cs="Times New Roman"/>
          <w:szCs w:val="24"/>
          <w:lang w:val="en-GB"/>
        </w:rPr>
        <w:t>as complementary assessments:</w:t>
      </w:r>
      <w:r w:rsidRPr="003778C4">
        <w:rPr>
          <w:rFonts w:cs="Times New Roman"/>
          <w:szCs w:val="24"/>
          <w:lang w:val="en-GB"/>
        </w:rPr>
        <w:t xml:space="preserve"> </w:t>
      </w:r>
    </w:p>
    <w:p w:rsidR="00160A2A" w:rsidRPr="003778C4" w:rsidRDefault="00160A2A" w:rsidP="00895047">
      <w:pPr>
        <w:pStyle w:val="ICMEQuote"/>
        <w:spacing w:after="0" w:line="240" w:lineRule="auto"/>
        <w:rPr>
          <w:rFonts w:cs="Times New Roman"/>
          <w:sz w:val="24"/>
          <w:szCs w:val="24"/>
          <w:lang w:val="en-GB"/>
        </w:rPr>
      </w:pPr>
      <w:r w:rsidRPr="003778C4">
        <w:rPr>
          <w:rFonts w:cs="Times New Roman"/>
          <w:sz w:val="24"/>
          <w:szCs w:val="24"/>
          <w:lang w:val="en-GB"/>
        </w:rPr>
        <w:t>Certainly there is a need for further cross-fertilisation between the ideas underlying PISA and PIAAC, to inform development of a comprehensive conceptual framework that offers a unified view of the development and use of mathematical skills across the lifespan. (p. 705)</w:t>
      </w:r>
    </w:p>
    <w:p w:rsidR="00160A2A" w:rsidRPr="003778C4" w:rsidRDefault="00160A2A" w:rsidP="00895047">
      <w:pPr>
        <w:pStyle w:val="ICMENormal"/>
        <w:spacing w:after="0" w:line="240" w:lineRule="auto"/>
        <w:rPr>
          <w:rFonts w:cs="Times New Roman"/>
          <w:szCs w:val="24"/>
          <w:lang w:val="en-GB"/>
        </w:rPr>
      </w:pPr>
      <w:r w:rsidRPr="003778C4">
        <w:rPr>
          <w:rFonts w:cs="Times New Roman"/>
          <w:szCs w:val="24"/>
          <w:lang w:val="en-GB"/>
        </w:rPr>
        <w:t>They are also supportive of OECD’s aim to provide information that policy-makers can use to:</w:t>
      </w:r>
    </w:p>
    <w:p w:rsidR="00160A2A" w:rsidRPr="003778C4" w:rsidRDefault="00160A2A" w:rsidP="00895047">
      <w:pPr>
        <w:pStyle w:val="ICMEQuote"/>
        <w:spacing w:after="0" w:line="240" w:lineRule="auto"/>
        <w:rPr>
          <w:rFonts w:cs="Times New Roman"/>
          <w:sz w:val="24"/>
          <w:szCs w:val="24"/>
          <w:lang w:val="en-GB"/>
        </w:rPr>
      </w:pPr>
      <w:r w:rsidRPr="003778C4">
        <w:rPr>
          <w:rFonts w:cs="Times New Roman"/>
          <w:i/>
          <w:iCs/>
          <w:sz w:val="24"/>
          <w:szCs w:val="24"/>
          <w:lang w:val="en-GB"/>
        </w:rPr>
        <w:t xml:space="preserve">• </w:t>
      </w:r>
      <w:r w:rsidRPr="003778C4">
        <w:rPr>
          <w:rFonts w:cs="Times New Roman"/>
          <w:sz w:val="24"/>
          <w:szCs w:val="24"/>
          <w:lang w:val="en-GB"/>
        </w:rPr>
        <w:t xml:space="preserve">examine the </w:t>
      </w:r>
      <w:r w:rsidRPr="003778C4">
        <w:rPr>
          <w:rFonts w:cs="Times New Roman"/>
          <w:i/>
          <w:sz w:val="24"/>
          <w:szCs w:val="24"/>
          <w:lang w:val="en-GB"/>
        </w:rPr>
        <w:t>impact</w:t>
      </w:r>
      <w:r w:rsidRPr="003778C4">
        <w:rPr>
          <w:rFonts w:cs="Times New Roman"/>
          <w:sz w:val="24"/>
          <w:szCs w:val="24"/>
          <w:lang w:val="en-GB"/>
        </w:rPr>
        <w:t xml:space="preserve"> of reading, numeracy and problem-solving skills </w:t>
      </w:r>
      <w:r w:rsidRPr="003778C4">
        <w:rPr>
          <w:rFonts w:cs="Times New Roman"/>
          <w:i/>
          <w:sz w:val="24"/>
          <w:szCs w:val="24"/>
          <w:lang w:val="en-GB"/>
        </w:rPr>
        <w:t>on a range of economic and social outcomes</w:t>
      </w:r>
      <w:r w:rsidRPr="003778C4">
        <w:rPr>
          <w:rFonts w:cs="Times New Roman"/>
          <w:sz w:val="24"/>
          <w:szCs w:val="24"/>
          <w:lang w:val="en-GB"/>
        </w:rPr>
        <w:t>;</w:t>
      </w:r>
    </w:p>
    <w:p w:rsidR="00160A2A" w:rsidRPr="003778C4" w:rsidRDefault="00160A2A" w:rsidP="00895047">
      <w:pPr>
        <w:pStyle w:val="ICMEQuote"/>
        <w:spacing w:after="0" w:line="240" w:lineRule="auto"/>
        <w:rPr>
          <w:rFonts w:cs="Times New Roman"/>
          <w:sz w:val="24"/>
          <w:szCs w:val="24"/>
          <w:lang w:val="en-GB"/>
        </w:rPr>
      </w:pPr>
      <w:r w:rsidRPr="003778C4">
        <w:rPr>
          <w:rFonts w:cs="Times New Roman"/>
          <w:i/>
          <w:iCs/>
          <w:sz w:val="24"/>
          <w:szCs w:val="24"/>
          <w:lang w:val="en-GB"/>
        </w:rPr>
        <w:lastRenderedPageBreak/>
        <w:t xml:space="preserve">• </w:t>
      </w:r>
      <w:r w:rsidRPr="003778C4">
        <w:rPr>
          <w:rFonts w:cs="Times New Roman"/>
          <w:i/>
          <w:sz w:val="24"/>
          <w:szCs w:val="24"/>
          <w:lang w:val="en-GB"/>
        </w:rPr>
        <w:t>assess the performance of</w:t>
      </w:r>
      <w:r w:rsidRPr="003778C4">
        <w:rPr>
          <w:rFonts w:cs="Times New Roman"/>
          <w:sz w:val="24"/>
          <w:szCs w:val="24"/>
          <w:lang w:val="en-GB"/>
        </w:rPr>
        <w:t xml:space="preserve"> education and training </w:t>
      </w:r>
      <w:r w:rsidRPr="003778C4">
        <w:rPr>
          <w:rFonts w:cs="Times New Roman"/>
          <w:i/>
          <w:sz w:val="24"/>
          <w:szCs w:val="24"/>
          <w:lang w:val="en-GB"/>
        </w:rPr>
        <w:t>systems</w:t>
      </w:r>
      <w:r w:rsidRPr="003778C4">
        <w:rPr>
          <w:rFonts w:cs="Times New Roman"/>
          <w:sz w:val="24"/>
          <w:szCs w:val="24"/>
          <w:lang w:val="en-GB"/>
        </w:rPr>
        <w:t>, workplace practices and social policies in developing the skills required by the labour market and by society, in general; and</w:t>
      </w:r>
    </w:p>
    <w:p w:rsidR="00160A2A" w:rsidRPr="003778C4" w:rsidRDefault="00160A2A" w:rsidP="00895047">
      <w:pPr>
        <w:pStyle w:val="ICMEQuote"/>
        <w:spacing w:after="0" w:line="240" w:lineRule="auto"/>
        <w:rPr>
          <w:rFonts w:cs="Times New Roman"/>
          <w:sz w:val="24"/>
          <w:szCs w:val="24"/>
          <w:lang w:val="en-GB"/>
        </w:rPr>
      </w:pPr>
      <w:r w:rsidRPr="003778C4">
        <w:rPr>
          <w:rFonts w:cs="Times New Roman"/>
          <w:i/>
          <w:iCs/>
          <w:sz w:val="24"/>
          <w:szCs w:val="24"/>
          <w:lang w:val="en-GB"/>
        </w:rPr>
        <w:t xml:space="preserve">• </w:t>
      </w:r>
      <w:r w:rsidRPr="003778C4">
        <w:rPr>
          <w:rFonts w:cs="Times New Roman"/>
          <w:i/>
          <w:sz w:val="24"/>
          <w:szCs w:val="24"/>
          <w:lang w:val="en-GB"/>
        </w:rPr>
        <w:t>identify policy levers to reduce deficiencies</w:t>
      </w:r>
      <w:r w:rsidRPr="003778C4">
        <w:rPr>
          <w:rFonts w:cs="Times New Roman"/>
          <w:sz w:val="24"/>
          <w:szCs w:val="24"/>
          <w:lang w:val="en-GB"/>
        </w:rPr>
        <w:t xml:space="preserve"> in key competencies. (OECD 2013, p. 25)</w:t>
      </w:r>
    </w:p>
    <w:p w:rsidR="00895047" w:rsidRDefault="00895047" w:rsidP="00895047">
      <w:pPr>
        <w:pStyle w:val="ICMENormal"/>
        <w:spacing w:after="0" w:line="240" w:lineRule="auto"/>
        <w:rPr>
          <w:rFonts w:cs="Times New Roman"/>
          <w:szCs w:val="24"/>
          <w:lang w:val="en-GB"/>
        </w:rPr>
      </w:pPr>
    </w:p>
    <w:p w:rsidR="00160A2A" w:rsidRPr="003778C4" w:rsidRDefault="00160A2A" w:rsidP="00895047">
      <w:pPr>
        <w:pStyle w:val="ICMENormal"/>
        <w:spacing w:after="0" w:line="240" w:lineRule="auto"/>
        <w:rPr>
          <w:rFonts w:cs="Times New Roman"/>
          <w:szCs w:val="24"/>
          <w:lang w:val="en-GB"/>
        </w:rPr>
      </w:pPr>
      <w:r w:rsidRPr="003778C4">
        <w:rPr>
          <w:rFonts w:cs="Times New Roman"/>
          <w:szCs w:val="24"/>
          <w:lang w:val="en-GB"/>
        </w:rPr>
        <w:t>The authors first provide a detailed comparative account of the conceptual and assessment frameworks for the PISA Mathematical Literacy (ML) and the PIAAC Numeracy (N)</w:t>
      </w:r>
      <w:r w:rsidR="00277B04" w:rsidRPr="003778C4">
        <w:rPr>
          <w:rFonts w:cs="Times New Roman"/>
          <w:szCs w:val="24"/>
          <w:lang w:val="en-GB"/>
        </w:rPr>
        <w:t xml:space="preserve">. They then go on to </w:t>
      </w:r>
      <w:r w:rsidRPr="003778C4">
        <w:rPr>
          <w:rFonts w:cs="Times New Roman"/>
          <w:szCs w:val="24"/>
          <w:lang w:val="en-GB"/>
        </w:rPr>
        <w:t xml:space="preserve">argue that such an analysis can inform mathematics education pedagogy and curricular development, as well as policy decisions and directions. </w:t>
      </w:r>
    </w:p>
    <w:p w:rsidR="00EF5F18" w:rsidRDefault="00EC0AD0" w:rsidP="00895047">
      <w:pPr>
        <w:pStyle w:val="ICMENormal"/>
        <w:spacing w:after="0" w:line="240" w:lineRule="auto"/>
        <w:rPr>
          <w:rFonts w:cs="Times New Roman"/>
          <w:szCs w:val="24"/>
          <w:lang w:val="en-GB"/>
        </w:rPr>
      </w:pPr>
      <w:r w:rsidRPr="003778C4">
        <w:rPr>
          <w:rFonts w:cs="Times New Roman"/>
          <w:szCs w:val="24"/>
          <w:lang w:val="en-GB"/>
        </w:rPr>
        <w:t xml:space="preserve">Tout </w:t>
      </w:r>
      <w:r w:rsidR="00805FB7" w:rsidRPr="003778C4">
        <w:rPr>
          <w:rFonts w:cs="Times New Roman"/>
          <w:szCs w:val="24"/>
          <w:lang w:val="en-GB"/>
        </w:rPr>
        <w:t xml:space="preserve">and </w:t>
      </w:r>
      <w:r w:rsidRPr="003778C4">
        <w:rPr>
          <w:rFonts w:cs="Times New Roman"/>
          <w:szCs w:val="24"/>
          <w:lang w:val="en-GB"/>
        </w:rPr>
        <w:t>Gal also argue for the validity of the PIAAC N</w:t>
      </w:r>
      <w:r w:rsidR="00A528AF" w:rsidRPr="003778C4">
        <w:rPr>
          <w:rFonts w:cs="Times New Roman"/>
          <w:szCs w:val="24"/>
          <w:lang w:val="en-GB"/>
        </w:rPr>
        <w:t>umeracy</w:t>
      </w:r>
      <w:r w:rsidRPr="003778C4">
        <w:rPr>
          <w:rFonts w:cs="Times New Roman"/>
          <w:szCs w:val="24"/>
          <w:lang w:val="en-GB"/>
        </w:rPr>
        <w:t xml:space="preserve"> measure by citing correlations with other socially valued outcomes (such as trust, political empowerment, community participation and health literacy</w:t>
      </w:r>
      <w:r w:rsidR="006A2BB3" w:rsidRPr="003778C4">
        <w:rPr>
          <w:rFonts w:cs="Times New Roman"/>
          <w:szCs w:val="24"/>
          <w:lang w:val="en-GB"/>
        </w:rPr>
        <w:t xml:space="preserve"> </w:t>
      </w:r>
      <w:r w:rsidRPr="003778C4">
        <w:rPr>
          <w:rFonts w:cs="Times New Roman"/>
          <w:szCs w:val="24"/>
          <w:lang w:val="en-GB"/>
        </w:rPr>
        <w:t>(p. 702).</w:t>
      </w:r>
      <w:r w:rsidR="00790902" w:rsidRPr="003778C4">
        <w:rPr>
          <w:rFonts w:cs="Times New Roman"/>
          <w:szCs w:val="24"/>
          <w:lang w:val="en-GB"/>
        </w:rPr>
        <w:t xml:space="preserve"> </w:t>
      </w:r>
      <w:r w:rsidR="005015BA" w:rsidRPr="003778C4">
        <w:rPr>
          <w:rFonts w:cs="Times New Roman"/>
          <w:szCs w:val="24"/>
          <w:lang w:val="en-GB"/>
        </w:rPr>
        <w:t>Pointing to</w:t>
      </w:r>
      <w:r w:rsidR="00A77180" w:rsidRPr="003778C4">
        <w:rPr>
          <w:rFonts w:cs="Times New Roman"/>
          <w:szCs w:val="24"/>
          <w:lang w:val="en-GB"/>
        </w:rPr>
        <w:t xml:space="preserve"> the wide variations in N/ML proficiencies in many countries, the authors </w:t>
      </w:r>
      <w:r w:rsidR="00790902" w:rsidRPr="003778C4">
        <w:rPr>
          <w:rFonts w:cs="Times New Roman"/>
          <w:szCs w:val="24"/>
          <w:lang w:val="en-GB"/>
        </w:rPr>
        <w:t xml:space="preserve">then </w:t>
      </w:r>
      <w:r w:rsidR="00A77180" w:rsidRPr="003778C4">
        <w:rPr>
          <w:rFonts w:cs="Times New Roman"/>
          <w:szCs w:val="24"/>
          <w:lang w:val="en-GB"/>
        </w:rPr>
        <w:t xml:space="preserve">make </w:t>
      </w:r>
      <w:r w:rsidR="00790902" w:rsidRPr="003778C4">
        <w:rPr>
          <w:rFonts w:cs="Times New Roman"/>
          <w:szCs w:val="24"/>
          <w:lang w:val="en-GB"/>
        </w:rPr>
        <w:t>the assertion that “</w:t>
      </w:r>
      <w:r w:rsidR="00790902" w:rsidRPr="003778C4">
        <w:rPr>
          <w:rFonts w:cs="Times New Roman"/>
          <w:szCs w:val="24"/>
          <w:lang w:val="en-GB" w:eastAsia="ja-JP"/>
        </w:rPr>
        <w:t xml:space="preserve">the results from PISA for mathematical literacy and PIAAC for numeracy should raise several red flags for mathematics educators” (p. 704). </w:t>
      </w:r>
      <w:r w:rsidR="00805FB7" w:rsidRPr="003778C4">
        <w:rPr>
          <w:rFonts w:cs="Times New Roman"/>
          <w:szCs w:val="24"/>
          <w:lang w:val="en-GB"/>
        </w:rPr>
        <w:t>They</w:t>
      </w:r>
      <w:r w:rsidR="00EF5F18" w:rsidRPr="003778C4">
        <w:rPr>
          <w:rFonts w:cs="Times New Roman"/>
          <w:szCs w:val="24"/>
          <w:lang w:val="en-GB"/>
        </w:rPr>
        <w:t xml:space="preserve"> can be seen to be seeking to influence policies at a number of different levels and directions</w:t>
      </w:r>
      <w:r w:rsidR="00790902" w:rsidRPr="003778C4">
        <w:rPr>
          <w:rFonts w:cs="Times New Roman"/>
          <w:szCs w:val="24"/>
          <w:lang w:val="en-GB"/>
        </w:rPr>
        <w:t xml:space="preserve">: </w:t>
      </w:r>
      <w:r w:rsidR="00EF5F18" w:rsidRPr="003778C4">
        <w:rPr>
          <w:rFonts w:cs="Times New Roman"/>
          <w:szCs w:val="24"/>
          <w:lang w:val="en-GB"/>
        </w:rPr>
        <w:t xml:space="preserve">school and post-school policies about mathematics/ numeracy education including curricular frameworks, and curricular frameworks for teacher education. </w:t>
      </w:r>
    </w:p>
    <w:p w:rsidR="00895047" w:rsidRPr="003778C4" w:rsidRDefault="00895047" w:rsidP="00895047">
      <w:pPr>
        <w:pStyle w:val="ICMENormal"/>
        <w:spacing w:after="0" w:line="240" w:lineRule="auto"/>
        <w:rPr>
          <w:rFonts w:cs="Times New Roman"/>
          <w:szCs w:val="24"/>
          <w:lang w:val="en-GB"/>
        </w:rPr>
      </w:pPr>
    </w:p>
    <w:p w:rsidR="00DE7DC4" w:rsidRDefault="00203463" w:rsidP="00895047">
      <w:pPr>
        <w:pStyle w:val="ICMENormal"/>
        <w:spacing w:after="0" w:line="240" w:lineRule="auto"/>
        <w:rPr>
          <w:rFonts w:cs="Times New Roman"/>
          <w:szCs w:val="24"/>
          <w:lang w:val="en-GB"/>
        </w:rPr>
      </w:pPr>
      <w:proofErr w:type="spellStart"/>
      <w:r w:rsidRPr="003778C4">
        <w:rPr>
          <w:rFonts w:cs="Times New Roman"/>
          <w:b/>
          <w:i/>
          <w:szCs w:val="24"/>
          <w:lang w:val="en-GB"/>
        </w:rPr>
        <w:t>Jablonka’</w:t>
      </w:r>
      <w:r w:rsidRPr="003778C4">
        <w:rPr>
          <w:rFonts w:cs="Times New Roman"/>
          <w:szCs w:val="24"/>
          <w:lang w:val="en-GB"/>
        </w:rPr>
        <w:t>s</w:t>
      </w:r>
      <w:proofErr w:type="spellEnd"/>
      <w:r w:rsidRPr="003778C4">
        <w:rPr>
          <w:rFonts w:cs="Times New Roman"/>
          <w:szCs w:val="24"/>
          <w:lang w:val="en-GB"/>
        </w:rPr>
        <w:t xml:space="preserve"> article </w:t>
      </w:r>
      <w:r w:rsidR="005816E4" w:rsidRPr="003778C4">
        <w:rPr>
          <w:rFonts w:cs="Times New Roman"/>
          <w:szCs w:val="24"/>
          <w:lang w:val="en-GB"/>
        </w:rPr>
        <w:t xml:space="preserve">expresses her strong concern about </w:t>
      </w:r>
      <w:r w:rsidR="00C770B4" w:rsidRPr="003778C4">
        <w:rPr>
          <w:rFonts w:cs="Times New Roman"/>
          <w:szCs w:val="24"/>
          <w:lang w:val="en-GB"/>
        </w:rPr>
        <w:t xml:space="preserve">the </w:t>
      </w:r>
      <w:r w:rsidR="005816E4" w:rsidRPr="003778C4">
        <w:rPr>
          <w:rFonts w:cs="Times New Roman"/>
          <w:szCs w:val="24"/>
          <w:lang w:val="en-GB"/>
        </w:rPr>
        <w:t>OECD</w:t>
      </w:r>
      <w:r w:rsidR="00C770B4" w:rsidRPr="003778C4">
        <w:rPr>
          <w:rFonts w:cs="Times New Roman"/>
          <w:szCs w:val="24"/>
          <w:lang w:val="en-GB"/>
        </w:rPr>
        <w:t xml:space="preserve"> surveys</w:t>
      </w:r>
      <w:r w:rsidR="005816E4" w:rsidRPr="003778C4">
        <w:rPr>
          <w:rFonts w:cs="Times New Roman"/>
          <w:szCs w:val="24"/>
          <w:lang w:val="en-GB"/>
        </w:rPr>
        <w:t>’ influences on</w:t>
      </w:r>
      <w:r w:rsidR="00BF399F" w:rsidRPr="003778C4">
        <w:rPr>
          <w:rFonts w:cs="Times New Roman"/>
          <w:szCs w:val="24"/>
          <w:lang w:val="en-GB"/>
        </w:rPr>
        <w:t xml:space="preserve"> local mathematics curricula. </w:t>
      </w:r>
      <w:r w:rsidR="005816E4" w:rsidRPr="003778C4">
        <w:rPr>
          <w:rFonts w:cs="Times New Roman"/>
          <w:szCs w:val="24"/>
          <w:lang w:val="en-GB"/>
        </w:rPr>
        <w:t>She</w:t>
      </w:r>
      <w:r w:rsidR="00DE7DC4" w:rsidRPr="003778C4">
        <w:rPr>
          <w:rFonts w:cs="Times New Roman"/>
          <w:szCs w:val="24"/>
          <w:lang w:val="en-GB"/>
        </w:rPr>
        <w:t xml:space="preserve"> is not critical of the PIAAC definition of Numeracy (N) or the PISA definition of Mathematical Literacy (ML) </w:t>
      </w:r>
      <w:r w:rsidR="00DE7DC4" w:rsidRPr="003778C4">
        <w:rPr>
          <w:rFonts w:cs="Times New Roman"/>
          <w:i/>
          <w:szCs w:val="24"/>
          <w:lang w:val="en-GB"/>
        </w:rPr>
        <w:t>per se</w:t>
      </w:r>
      <w:r w:rsidR="00DE7DC4" w:rsidRPr="003778C4">
        <w:rPr>
          <w:rFonts w:cs="Times New Roman"/>
          <w:szCs w:val="24"/>
          <w:lang w:val="en-GB"/>
        </w:rPr>
        <w:t xml:space="preserve">. Rather she identifies </w:t>
      </w:r>
      <w:r w:rsidR="00E320D2" w:rsidRPr="003778C4">
        <w:rPr>
          <w:rFonts w:cs="Times New Roman"/>
          <w:szCs w:val="24"/>
          <w:lang w:val="en-GB"/>
        </w:rPr>
        <w:t>a conflict</w:t>
      </w:r>
      <w:r w:rsidR="00DE7DC4" w:rsidRPr="003778C4">
        <w:rPr>
          <w:rFonts w:cs="Times New Roman"/>
          <w:szCs w:val="24"/>
          <w:lang w:val="en-GB"/>
        </w:rPr>
        <w:t xml:space="preserve"> between the </w:t>
      </w:r>
      <w:r w:rsidR="00E320D2" w:rsidRPr="003778C4">
        <w:rPr>
          <w:rFonts w:cs="Times New Roman"/>
          <w:szCs w:val="24"/>
          <w:lang w:val="en-GB"/>
        </w:rPr>
        <w:t>conceptualisations</w:t>
      </w:r>
      <w:r w:rsidR="00DE7DC4" w:rsidRPr="003778C4">
        <w:rPr>
          <w:rFonts w:cs="Times New Roman"/>
          <w:szCs w:val="24"/>
          <w:lang w:val="en-GB"/>
        </w:rPr>
        <w:t xml:space="preserve"> of N/ML and the traditional discipline-based </w:t>
      </w:r>
      <w:r w:rsidR="00CB17EF" w:rsidRPr="003778C4">
        <w:rPr>
          <w:rFonts w:cs="Times New Roman"/>
          <w:szCs w:val="24"/>
          <w:lang w:val="en-GB"/>
        </w:rPr>
        <w:t>knowledge</w:t>
      </w:r>
      <w:r w:rsidR="00DE7DC4" w:rsidRPr="003778C4">
        <w:rPr>
          <w:rFonts w:cs="Times New Roman"/>
          <w:szCs w:val="24"/>
          <w:lang w:val="en-GB"/>
        </w:rPr>
        <w:t xml:space="preserve"> of mathematics</w:t>
      </w:r>
      <w:r w:rsidR="00790902" w:rsidRPr="003778C4">
        <w:rPr>
          <w:rFonts w:cs="Times New Roman"/>
          <w:szCs w:val="24"/>
          <w:lang w:val="en-GB"/>
        </w:rPr>
        <w:t>:</w:t>
      </w:r>
      <w:r w:rsidR="0063062C" w:rsidRPr="003778C4">
        <w:rPr>
          <w:rFonts w:cs="Times New Roman"/>
          <w:szCs w:val="24"/>
          <w:lang w:val="en-GB"/>
        </w:rPr>
        <w:t xml:space="preserve"> </w:t>
      </w:r>
      <w:r w:rsidR="0025228D" w:rsidRPr="003778C4">
        <w:rPr>
          <w:rFonts w:cs="Times New Roman"/>
          <w:szCs w:val="24"/>
          <w:lang w:val="en-GB"/>
        </w:rPr>
        <w:t xml:space="preserve">traditional mathematics curricula </w:t>
      </w:r>
      <w:r w:rsidR="00C770B4" w:rsidRPr="003778C4">
        <w:rPr>
          <w:rFonts w:cs="Times New Roman"/>
          <w:szCs w:val="24"/>
          <w:lang w:val="en-GB"/>
        </w:rPr>
        <w:t xml:space="preserve">are </w:t>
      </w:r>
      <w:r w:rsidR="0025228D" w:rsidRPr="003778C4">
        <w:rPr>
          <w:rFonts w:cs="Times New Roman"/>
          <w:szCs w:val="24"/>
          <w:lang w:val="en-GB"/>
        </w:rPr>
        <w:t xml:space="preserve">based on </w:t>
      </w:r>
      <w:r w:rsidR="004E77E3" w:rsidRPr="003778C4">
        <w:rPr>
          <w:rFonts w:cs="Times New Roman"/>
          <w:szCs w:val="24"/>
          <w:lang w:val="en-GB"/>
        </w:rPr>
        <w:t>specialised knowledge and discourse</w:t>
      </w:r>
      <w:r w:rsidR="0025228D" w:rsidRPr="003778C4">
        <w:rPr>
          <w:rFonts w:cs="Times New Roman"/>
          <w:szCs w:val="24"/>
          <w:lang w:val="en-GB"/>
        </w:rPr>
        <w:t xml:space="preserve">, </w:t>
      </w:r>
      <w:r w:rsidR="00790902" w:rsidRPr="003778C4">
        <w:rPr>
          <w:rFonts w:cs="Times New Roman"/>
          <w:szCs w:val="24"/>
          <w:lang w:val="en-GB"/>
        </w:rPr>
        <w:t xml:space="preserve">whereas introducing ML/N into the mathematics curricula would </w:t>
      </w:r>
      <w:r w:rsidR="00DF31CB" w:rsidRPr="003778C4">
        <w:rPr>
          <w:rFonts w:cs="Times New Roman"/>
          <w:szCs w:val="24"/>
          <w:lang w:val="en-GB"/>
        </w:rPr>
        <w:t>“bring about a shift in cr</w:t>
      </w:r>
      <w:r w:rsidR="00A83491" w:rsidRPr="003778C4">
        <w:rPr>
          <w:rFonts w:cs="Times New Roman"/>
          <w:szCs w:val="24"/>
          <w:lang w:val="en-GB"/>
        </w:rPr>
        <w:t>i</w:t>
      </w:r>
      <w:r w:rsidR="00DF31CB" w:rsidRPr="003778C4">
        <w:rPr>
          <w:rFonts w:cs="Times New Roman"/>
          <w:szCs w:val="24"/>
          <w:lang w:val="en-GB"/>
        </w:rPr>
        <w:t>teria for what counts as an accomplishment of a task” (p.</w:t>
      </w:r>
      <w:r w:rsidR="00A83491" w:rsidRPr="003778C4">
        <w:rPr>
          <w:rFonts w:cs="Times New Roman"/>
          <w:szCs w:val="24"/>
          <w:lang w:val="en-GB"/>
        </w:rPr>
        <w:t xml:space="preserve"> </w:t>
      </w:r>
      <w:r w:rsidR="00DF31CB" w:rsidRPr="003778C4">
        <w:rPr>
          <w:rFonts w:cs="Times New Roman"/>
          <w:szCs w:val="24"/>
          <w:lang w:val="en-GB"/>
        </w:rPr>
        <w:t xml:space="preserve">607) – and hence would </w:t>
      </w:r>
      <w:r w:rsidR="00790902" w:rsidRPr="003778C4">
        <w:rPr>
          <w:rFonts w:cs="Times New Roman"/>
          <w:szCs w:val="24"/>
          <w:lang w:val="en-GB"/>
        </w:rPr>
        <w:t>weaken the traditional disciplinary discourses of mathematics education</w:t>
      </w:r>
      <w:r w:rsidR="004E77E3" w:rsidRPr="003778C4">
        <w:rPr>
          <w:rFonts w:cs="Times New Roman"/>
          <w:szCs w:val="24"/>
          <w:lang w:val="en-GB"/>
        </w:rPr>
        <w:t xml:space="preserve">. </w:t>
      </w:r>
    </w:p>
    <w:p w:rsidR="00895047" w:rsidRPr="003778C4" w:rsidRDefault="00895047" w:rsidP="00895047">
      <w:pPr>
        <w:pStyle w:val="ICMENormal"/>
        <w:spacing w:after="0" w:line="240" w:lineRule="auto"/>
        <w:rPr>
          <w:rFonts w:cs="Times New Roman"/>
          <w:szCs w:val="24"/>
          <w:lang w:val="en-GB"/>
        </w:rPr>
      </w:pPr>
    </w:p>
    <w:p w:rsidR="00DE41B2" w:rsidRPr="003778C4" w:rsidRDefault="00790902" w:rsidP="00895047">
      <w:pPr>
        <w:pStyle w:val="ICMENormal"/>
        <w:spacing w:after="0" w:line="240" w:lineRule="auto"/>
        <w:rPr>
          <w:rFonts w:cs="Times New Roman"/>
          <w:szCs w:val="24"/>
          <w:lang w:val="en-GB"/>
        </w:rPr>
      </w:pPr>
      <w:r w:rsidRPr="003778C4">
        <w:rPr>
          <w:rFonts w:cs="Times New Roman"/>
          <w:szCs w:val="24"/>
          <w:lang w:val="en-GB"/>
        </w:rPr>
        <w:t xml:space="preserve">While she acknowledges other radical alternatives to the traditional mathematics curricula are justified in their goal </w:t>
      </w:r>
      <w:r w:rsidR="009E22D7" w:rsidRPr="003778C4">
        <w:rPr>
          <w:rFonts w:cs="Times New Roman"/>
          <w:szCs w:val="24"/>
          <w:lang w:val="en-GB"/>
        </w:rPr>
        <w:t xml:space="preserve">of </w:t>
      </w:r>
      <w:r w:rsidR="00DE41B2" w:rsidRPr="003778C4">
        <w:rPr>
          <w:rFonts w:cs="Times New Roman"/>
          <w:szCs w:val="24"/>
          <w:lang w:val="en-GB"/>
        </w:rPr>
        <w:t>shift</w:t>
      </w:r>
      <w:r w:rsidR="009E22D7" w:rsidRPr="003778C4">
        <w:rPr>
          <w:rFonts w:cs="Times New Roman"/>
          <w:szCs w:val="24"/>
          <w:lang w:val="en-GB"/>
        </w:rPr>
        <w:t>ing</w:t>
      </w:r>
      <w:r w:rsidR="00DE41B2" w:rsidRPr="003778C4">
        <w:rPr>
          <w:rFonts w:cs="Times New Roman"/>
          <w:szCs w:val="24"/>
          <w:lang w:val="en-GB"/>
        </w:rPr>
        <w:t xml:space="preserve"> </w:t>
      </w:r>
      <w:r w:rsidR="005816E4" w:rsidRPr="003778C4">
        <w:rPr>
          <w:rFonts w:cs="Times New Roman"/>
          <w:szCs w:val="24"/>
          <w:lang w:val="en-GB"/>
        </w:rPr>
        <w:t>mathematics education away from the</w:t>
      </w:r>
      <w:r w:rsidR="00DE41B2" w:rsidRPr="003778C4">
        <w:rPr>
          <w:rFonts w:cs="Times New Roman"/>
          <w:szCs w:val="24"/>
          <w:lang w:val="en-GB"/>
        </w:rPr>
        <w:t xml:space="preserve"> social reproductive effects with which </w:t>
      </w:r>
      <w:r w:rsidR="005816E4" w:rsidRPr="003778C4">
        <w:rPr>
          <w:rFonts w:cs="Times New Roman"/>
          <w:szCs w:val="24"/>
          <w:lang w:val="en-GB"/>
        </w:rPr>
        <w:t>it</w:t>
      </w:r>
      <w:r w:rsidR="00DE41B2" w:rsidRPr="003778C4">
        <w:rPr>
          <w:rFonts w:cs="Times New Roman"/>
          <w:szCs w:val="24"/>
          <w:lang w:val="en-GB"/>
        </w:rPr>
        <w:t xml:space="preserve"> </w:t>
      </w:r>
      <w:r w:rsidR="005816E4" w:rsidRPr="003778C4">
        <w:rPr>
          <w:rFonts w:cs="Times New Roman"/>
          <w:szCs w:val="24"/>
          <w:lang w:val="en-GB"/>
        </w:rPr>
        <w:t>has</w:t>
      </w:r>
      <w:r w:rsidR="00DE41B2" w:rsidRPr="003778C4">
        <w:rPr>
          <w:rFonts w:cs="Times New Roman"/>
          <w:szCs w:val="24"/>
          <w:lang w:val="en-GB"/>
        </w:rPr>
        <w:t xml:space="preserve"> often been associated, ML</w:t>
      </w:r>
      <w:r w:rsidR="00DF31CB" w:rsidRPr="003778C4">
        <w:rPr>
          <w:rFonts w:cs="Times New Roman"/>
          <w:szCs w:val="24"/>
          <w:lang w:val="en-GB"/>
        </w:rPr>
        <w:t xml:space="preserve"> and </w:t>
      </w:r>
      <w:r w:rsidR="00DE41B2" w:rsidRPr="003778C4">
        <w:rPr>
          <w:rFonts w:cs="Times New Roman"/>
          <w:szCs w:val="24"/>
          <w:lang w:val="en-GB"/>
        </w:rPr>
        <w:t xml:space="preserve">N </w:t>
      </w:r>
      <w:r w:rsidRPr="003778C4">
        <w:rPr>
          <w:rFonts w:cs="Times New Roman"/>
          <w:szCs w:val="24"/>
          <w:lang w:val="en-GB"/>
        </w:rPr>
        <w:t>as conceived by the OECD do not afford th</w:t>
      </w:r>
      <w:r w:rsidR="005816E4" w:rsidRPr="003778C4">
        <w:rPr>
          <w:rFonts w:cs="Times New Roman"/>
          <w:szCs w:val="24"/>
          <w:lang w:val="en-GB"/>
        </w:rPr>
        <w:t>is alternative</w:t>
      </w:r>
      <w:r w:rsidR="00DF31CB" w:rsidRPr="003778C4">
        <w:rPr>
          <w:rFonts w:cs="Times New Roman"/>
          <w:szCs w:val="24"/>
          <w:lang w:val="en-GB"/>
        </w:rPr>
        <w:t>. I</w:t>
      </w:r>
      <w:r w:rsidRPr="003778C4">
        <w:rPr>
          <w:rFonts w:cs="Times New Roman"/>
          <w:szCs w:val="24"/>
          <w:lang w:val="en-GB"/>
        </w:rPr>
        <w:t xml:space="preserve">nstead </w:t>
      </w:r>
      <w:r w:rsidR="00DF31CB" w:rsidRPr="003778C4">
        <w:rPr>
          <w:rFonts w:cs="Times New Roman"/>
          <w:szCs w:val="24"/>
          <w:lang w:val="en-GB"/>
        </w:rPr>
        <w:t xml:space="preserve">they </w:t>
      </w:r>
      <w:r w:rsidRPr="003778C4">
        <w:rPr>
          <w:rFonts w:cs="Times New Roman"/>
          <w:szCs w:val="24"/>
          <w:lang w:val="en-GB"/>
        </w:rPr>
        <w:t>are</w:t>
      </w:r>
      <w:r w:rsidR="00DE41B2" w:rsidRPr="003778C4">
        <w:rPr>
          <w:rFonts w:cs="Times New Roman"/>
          <w:szCs w:val="24"/>
          <w:lang w:val="en-GB"/>
        </w:rPr>
        <w:t xml:space="preserve"> justified as skills necessary for economic goals</w:t>
      </w:r>
      <w:r w:rsidR="00A95829" w:rsidRPr="003778C4">
        <w:rPr>
          <w:rFonts w:cs="Times New Roman"/>
          <w:szCs w:val="24"/>
          <w:lang w:val="en-GB"/>
        </w:rPr>
        <w:t>. This, she argues would lead to a situation where</w:t>
      </w:r>
      <w:r w:rsidR="00DE41B2" w:rsidRPr="003778C4">
        <w:rPr>
          <w:rFonts w:cs="Times New Roman"/>
          <w:szCs w:val="24"/>
          <w:lang w:val="en-GB"/>
        </w:rPr>
        <w:t>:</w:t>
      </w:r>
    </w:p>
    <w:p w:rsidR="00DE41B2" w:rsidRPr="003778C4" w:rsidRDefault="00DE41B2" w:rsidP="00895047">
      <w:pPr>
        <w:pStyle w:val="ICMEQuote"/>
        <w:spacing w:after="0" w:line="240" w:lineRule="auto"/>
        <w:rPr>
          <w:rFonts w:cs="Times New Roman"/>
          <w:sz w:val="24"/>
          <w:szCs w:val="24"/>
          <w:lang w:val="en-GB"/>
        </w:rPr>
      </w:pPr>
      <w:r w:rsidRPr="003778C4">
        <w:rPr>
          <w:rFonts w:cs="Times New Roman"/>
          <w:sz w:val="24"/>
          <w:szCs w:val="24"/>
          <w:lang w:val="en-GB"/>
        </w:rPr>
        <w:t xml:space="preserve">Subjects are positioned as </w:t>
      </w:r>
      <w:r w:rsidR="009E22D7" w:rsidRPr="003778C4">
        <w:rPr>
          <w:rFonts w:cs="Times New Roman"/>
          <w:sz w:val="24"/>
          <w:szCs w:val="24"/>
          <w:lang w:val="en-GB"/>
        </w:rPr>
        <w:t xml:space="preserve">[either] </w:t>
      </w:r>
      <w:r w:rsidRPr="003778C4">
        <w:rPr>
          <w:rFonts w:cs="Times New Roman"/>
          <w:sz w:val="24"/>
          <w:szCs w:val="24"/>
          <w:lang w:val="en-GB"/>
        </w:rPr>
        <w:t xml:space="preserve">deficient consumers or privileged critics, as manual workers or as knowledge workers. This language produces ‘truths’ about numerate or innumerate individuals or groups at different levels and about the cause </w:t>
      </w:r>
      <w:r w:rsidR="00DF31CB" w:rsidRPr="003778C4">
        <w:rPr>
          <w:rFonts w:cs="Times New Roman"/>
          <w:sz w:val="24"/>
          <w:szCs w:val="24"/>
          <w:lang w:val="en-GB"/>
        </w:rPr>
        <w:t>f</w:t>
      </w:r>
      <w:r w:rsidRPr="003778C4">
        <w:rPr>
          <w:rFonts w:cs="Times New Roman"/>
          <w:sz w:val="24"/>
          <w:szCs w:val="24"/>
          <w:lang w:val="en-GB"/>
        </w:rPr>
        <w:t>or a lack of effective participation that excludes other explanations. (p. 607)</w:t>
      </w:r>
    </w:p>
    <w:p w:rsidR="00895047" w:rsidRDefault="00895047" w:rsidP="00895047">
      <w:pPr>
        <w:pStyle w:val="ICMENormal"/>
        <w:spacing w:after="0" w:line="240" w:lineRule="auto"/>
        <w:rPr>
          <w:rFonts w:cs="Times New Roman"/>
          <w:szCs w:val="24"/>
          <w:lang w:val="en-GB"/>
        </w:rPr>
      </w:pPr>
    </w:p>
    <w:p w:rsidR="00DE41B2" w:rsidRPr="003778C4" w:rsidRDefault="00DE41B2" w:rsidP="00895047">
      <w:pPr>
        <w:pStyle w:val="ICMENormal"/>
        <w:spacing w:after="0" w:line="240" w:lineRule="auto"/>
        <w:rPr>
          <w:rFonts w:cs="Times New Roman"/>
          <w:szCs w:val="24"/>
          <w:lang w:val="en-GB"/>
        </w:rPr>
      </w:pPr>
      <w:r w:rsidRPr="003778C4">
        <w:rPr>
          <w:rFonts w:cs="Times New Roman"/>
          <w:szCs w:val="24"/>
          <w:lang w:val="en-GB"/>
        </w:rPr>
        <w:t xml:space="preserve">Jablonka seeks to </w:t>
      </w:r>
      <w:r w:rsidR="00E15818" w:rsidRPr="003778C4">
        <w:rPr>
          <w:rFonts w:cs="Times New Roman"/>
          <w:szCs w:val="24"/>
          <w:lang w:val="en-GB"/>
        </w:rPr>
        <w:t>critically question</w:t>
      </w:r>
      <w:r w:rsidRPr="003778C4">
        <w:rPr>
          <w:rFonts w:cs="Times New Roman"/>
          <w:szCs w:val="24"/>
          <w:lang w:val="en-GB"/>
        </w:rPr>
        <w:t xml:space="preserve"> policy-making based on what she characterises as a “chimera”</w:t>
      </w:r>
      <w:r w:rsidR="000F6D85" w:rsidRPr="003778C4">
        <w:rPr>
          <w:rFonts w:cs="Times New Roman"/>
          <w:szCs w:val="24"/>
          <w:lang w:val="en-GB"/>
        </w:rPr>
        <w:t xml:space="preserve"> fostered by the dominance of OECD’s definitions of skills</w:t>
      </w:r>
      <w:r w:rsidRPr="003778C4">
        <w:rPr>
          <w:rFonts w:cs="Times New Roman"/>
          <w:szCs w:val="24"/>
          <w:lang w:val="en-GB"/>
        </w:rPr>
        <w:t xml:space="preserve">: </w:t>
      </w:r>
    </w:p>
    <w:p w:rsidR="00DE41B2" w:rsidRPr="003778C4" w:rsidRDefault="00DE41B2" w:rsidP="00895047">
      <w:pPr>
        <w:pStyle w:val="ICMEQuote"/>
        <w:spacing w:after="0" w:line="240" w:lineRule="auto"/>
        <w:rPr>
          <w:rFonts w:cs="Times New Roman"/>
          <w:sz w:val="24"/>
          <w:szCs w:val="24"/>
          <w:lang w:val="en-GB"/>
        </w:rPr>
      </w:pPr>
      <w:r w:rsidRPr="003778C4">
        <w:rPr>
          <w:rFonts w:cs="Times New Roman"/>
          <w:sz w:val="24"/>
          <w:szCs w:val="24"/>
          <w:lang w:val="en-GB"/>
        </w:rPr>
        <w:t>The analysis suggests that there is a need to disrupt an overhasty reliance on an apparent agreement on the meaning of numeracy or mathematical literacy</w:t>
      </w:r>
      <w:r w:rsidR="003C3132" w:rsidRPr="003778C4">
        <w:rPr>
          <w:rFonts w:cs="Times New Roman"/>
          <w:sz w:val="24"/>
          <w:szCs w:val="24"/>
          <w:lang w:val="en-GB"/>
        </w:rPr>
        <w:t xml:space="preserve"> […]</w:t>
      </w:r>
      <w:r w:rsidRPr="003778C4">
        <w:rPr>
          <w:rFonts w:cs="Times New Roman"/>
          <w:sz w:val="24"/>
          <w:szCs w:val="24"/>
          <w:lang w:val="en-GB"/>
        </w:rPr>
        <w:t>. (p. 607)</w:t>
      </w:r>
    </w:p>
    <w:p w:rsidR="00895047" w:rsidRDefault="00895047" w:rsidP="00895047">
      <w:pPr>
        <w:pStyle w:val="ICMENormal"/>
        <w:spacing w:after="0" w:line="240" w:lineRule="auto"/>
        <w:rPr>
          <w:rFonts w:cs="Times New Roman"/>
          <w:b/>
          <w:i/>
          <w:szCs w:val="24"/>
          <w:lang w:val="en-GB"/>
        </w:rPr>
      </w:pPr>
    </w:p>
    <w:p w:rsidR="004031C1" w:rsidRPr="003778C4" w:rsidRDefault="00B7144E" w:rsidP="00895047">
      <w:pPr>
        <w:pStyle w:val="ICMENormal"/>
        <w:spacing w:after="0" w:line="240" w:lineRule="auto"/>
        <w:rPr>
          <w:rFonts w:cs="Times New Roman"/>
          <w:szCs w:val="24"/>
          <w:lang w:val="en-GB"/>
        </w:rPr>
      </w:pPr>
      <w:proofErr w:type="spellStart"/>
      <w:r w:rsidRPr="003778C4">
        <w:rPr>
          <w:rFonts w:cs="Times New Roman"/>
          <w:b/>
          <w:i/>
          <w:szCs w:val="24"/>
          <w:lang w:val="en-GB"/>
        </w:rPr>
        <w:t>Straesser</w:t>
      </w:r>
      <w:r w:rsidRPr="003778C4">
        <w:rPr>
          <w:rFonts w:cs="Times New Roman"/>
          <w:szCs w:val="24"/>
          <w:lang w:val="en-GB"/>
        </w:rPr>
        <w:t>’s</w:t>
      </w:r>
      <w:proofErr w:type="spellEnd"/>
      <w:r w:rsidRPr="003778C4">
        <w:rPr>
          <w:rFonts w:cs="Times New Roman"/>
          <w:szCs w:val="24"/>
          <w:lang w:val="en-GB"/>
        </w:rPr>
        <w:t xml:space="preserve"> interest is in numeracy in the context of the workplace.  </w:t>
      </w:r>
      <w:r w:rsidR="004031C1" w:rsidRPr="003778C4">
        <w:rPr>
          <w:rFonts w:cs="Times New Roman"/>
          <w:szCs w:val="24"/>
          <w:lang w:val="en-GB"/>
        </w:rPr>
        <w:t>Supported by hi</w:t>
      </w:r>
      <w:r w:rsidRPr="003778C4">
        <w:rPr>
          <w:rFonts w:cs="Times New Roman"/>
          <w:szCs w:val="24"/>
          <w:lang w:val="en-GB"/>
        </w:rPr>
        <w:t>s own and other</w:t>
      </w:r>
      <w:r w:rsidR="004031C1" w:rsidRPr="003778C4">
        <w:rPr>
          <w:rFonts w:cs="Times New Roman"/>
          <w:szCs w:val="24"/>
          <w:lang w:val="en-GB"/>
        </w:rPr>
        <w:t>s’</w:t>
      </w:r>
      <w:r w:rsidRPr="003778C4">
        <w:rPr>
          <w:rFonts w:cs="Times New Roman"/>
          <w:szCs w:val="24"/>
          <w:lang w:val="en-GB"/>
        </w:rPr>
        <w:t xml:space="preserve"> empirical studies, many of them ethnographic in approach, </w:t>
      </w:r>
      <w:r w:rsidR="004031C1" w:rsidRPr="003778C4">
        <w:rPr>
          <w:rFonts w:cs="Times New Roman"/>
          <w:szCs w:val="24"/>
          <w:lang w:val="en-GB"/>
        </w:rPr>
        <w:t>his perspective on workplace numeracy is that: “</w:t>
      </w:r>
      <w:r w:rsidR="009F57C7" w:rsidRPr="003778C4">
        <w:rPr>
          <w:rFonts w:cs="Times New Roman"/>
          <w:szCs w:val="24"/>
          <w:lang w:val="en-GB"/>
        </w:rPr>
        <w:t>Mathematics at the workplace is fundamentally influenced by extra-mathematical concerns and constrain</w:t>
      </w:r>
      <w:r w:rsidR="00C108C3" w:rsidRPr="003778C4">
        <w:rPr>
          <w:rFonts w:cs="Times New Roman"/>
          <w:szCs w:val="24"/>
          <w:lang w:val="en-GB"/>
        </w:rPr>
        <w:t>t</w:t>
      </w:r>
      <w:r w:rsidR="009F57C7" w:rsidRPr="003778C4">
        <w:rPr>
          <w:rFonts w:cs="Times New Roman"/>
          <w:szCs w:val="24"/>
          <w:lang w:val="en-GB"/>
        </w:rPr>
        <w:t>s and can only be superficially separated</w:t>
      </w:r>
      <w:r w:rsidR="004031C1" w:rsidRPr="003778C4">
        <w:rPr>
          <w:rFonts w:cs="Times New Roman"/>
          <w:szCs w:val="24"/>
          <w:lang w:val="en-GB"/>
        </w:rPr>
        <w:t>” (p. 673).</w:t>
      </w:r>
      <w:r w:rsidR="009F57C7" w:rsidRPr="003778C4">
        <w:rPr>
          <w:rFonts w:cs="Times New Roman"/>
          <w:szCs w:val="24"/>
          <w:lang w:val="en-GB"/>
        </w:rPr>
        <w:t xml:space="preserve"> </w:t>
      </w:r>
    </w:p>
    <w:p w:rsidR="006544F1" w:rsidRPr="003778C4" w:rsidRDefault="005816E4" w:rsidP="00895047">
      <w:pPr>
        <w:pStyle w:val="ICMENormal"/>
        <w:spacing w:after="0" w:line="240" w:lineRule="auto"/>
        <w:rPr>
          <w:rFonts w:cs="Times New Roman"/>
          <w:szCs w:val="24"/>
          <w:lang w:val="en-GB"/>
        </w:rPr>
      </w:pPr>
      <w:r w:rsidRPr="003778C4">
        <w:rPr>
          <w:rFonts w:cs="Times New Roman"/>
          <w:szCs w:val="24"/>
          <w:lang w:val="en-GB"/>
        </w:rPr>
        <w:t>In his</w:t>
      </w:r>
      <w:r w:rsidR="006544F1" w:rsidRPr="003778C4">
        <w:rPr>
          <w:rFonts w:cs="Times New Roman"/>
          <w:szCs w:val="24"/>
          <w:lang w:val="en-GB"/>
        </w:rPr>
        <w:t xml:space="preserve"> survey</w:t>
      </w:r>
      <w:r w:rsidRPr="003778C4">
        <w:rPr>
          <w:rFonts w:cs="Times New Roman"/>
          <w:szCs w:val="24"/>
          <w:lang w:val="en-GB"/>
        </w:rPr>
        <w:t xml:space="preserve"> of</w:t>
      </w:r>
      <w:r w:rsidR="006544F1" w:rsidRPr="003778C4">
        <w:rPr>
          <w:rFonts w:cs="Times New Roman"/>
          <w:szCs w:val="24"/>
          <w:lang w:val="en-GB"/>
        </w:rPr>
        <w:t xml:space="preserve"> the PIAAC documentation</w:t>
      </w:r>
      <w:r w:rsidRPr="003778C4">
        <w:rPr>
          <w:rFonts w:cs="Times New Roman"/>
          <w:szCs w:val="24"/>
          <w:lang w:val="en-GB"/>
        </w:rPr>
        <w:t>, he</w:t>
      </w:r>
      <w:r w:rsidR="006544F1" w:rsidRPr="003778C4">
        <w:rPr>
          <w:rFonts w:cs="Times New Roman"/>
          <w:szCs w:val="24"/>
          <w:lang w:val="en-GB"/>
        </w:rPr>
        <w:t xml:space="preserve"> identifies two </w:t>
      </w:r>
      <w:r w:rsidR="00A02933" w:rsidRPr="003778C4">
        <w:rPr>
          <w:rFonts w:cs="Times New Roman"/>
          <w:szCs w:val="24"/>
          <w:lang w:val="en-GB"/>
        </w:rPr>
        <w:t>questions about workplace numeracy</w:t>
      </w:r>
      <w:r w:rsidR="006544F1" w:rsidRPr="003778C4">
        <w:rPr>
          <w:rFonts w:cs="Times New Roman"/>
          <w:szCs w:val="24"/>
          <w:lang w:val="en-GB"/>
        </w:rPr>
        <w:t xml:space="preserve"> that </w:t>
      </w:r>
      <w:r w:rsidR="00A02933" w:rsidRPr="003778C4">
        <w:rPr>
          <w:rFonts w:cs="Times New Roman"/>
          <w:szCs w:val="24"/>
          <w:lang w:val="en-GB"/>
        </w:rPr>
        <w:t>may be</w:t>
      </w:r>
      <w:r w:rsidR="006544F1" w:rsidRPr="003778C4">
        <w:rPr>
          <w:rFonts w:cs="Times New Roman"/>
          <w:szCs w:val="24"/>
          <w:lang w:val="en-GB"/>
        </w:rPr>
        <w:t xml:space="preserve"> informed by PIAAC:</w:t>
      </w:r>
    </w:p>
    <w:p w:rsidR="006544F1" w:rsidRPr="003778C4" w:rsidRDefault="00A02933" w:rsidP="00895047">
      <w:pPr>
        <w:pStyle w:val="ICMEQuote"/>
        <w:spacing w:after="0" w:line="240" w:lineRule="auto"/>
        <w:rPr>
          <w:rFonts w:cs="Times New Roman"/>
          <w:sz w:val="24"/>
          <w:szCs w:val="24"/>
          <w:lang w:val="en-GB"/>
        </w:rPr>
      </w:pPr>
      <w:r w:rsidRPr="003778C4">
        <w:rPr>
          <w:rFonts w:cs="Times New Roman"/>
          <w:sz w:val="24"/>
          <w:szCs w:val="24"/>
          <w:lang w:val="en-GB"/>
        </w:rPr>
        <w:lastRenderedPageBreak/>
        <w:t xml:space="preserve">1. </w:t>
      </w:r>
      <w:r w:rsidR="006544F1" w:rsidRPr="003778C4">
        <w:rPr>
          <w:rFonts w:cs="Times New Roman"/>
          <w:sz w:val="24"/>
          <w:szCs w:val="24"/>
          <w:lang w:val="en-GB"/>
        </w:rPr>
        <w:t>The proficiency question: What kinds of qualifications</w:t>
      </w:r>
      <w:r w:rsidRPr="003778C4">
        <w:rPr>
          <w:rFonts w:cs="Times New Roman"/>
          <w:sz w:val="24"/>
          <w:szCs w:val="24"/>
          <w:lang w:val="en-GB"/>
        </w:rPr>
        <w:t xml:space="preserve"> </w:t>
      </w:r>
      <w:r w:rsidR="006544F1" w:rsidRPr="003778C4">
        <w:rPr>
          <w:rFonts w:cs="Times New Roman"/>
          <w:sz w:val="24"/>
          <w:szCs w:val="24"/>
          <w:lang w:val="en-GB"/>
        </w:rPr>
        <w:t>do adults have in terms of workplace related mathematics?</w:t>
      </w:r>
    </w:p>
    <w:p w:rsidR="006544F1" w:rsidRPr="003778C4" w:rsidRDefault="006544F1" w:rsidP="00895047">
      <w:pPr>
        <w:pStyle w:val="ICMEQuote"/>
        <w:spacing w:after="0" w:line="240" w:lineRule="auto"/>
        <w:rPr>
          <w:rFonts w:cs="Times New Roman"/>
          <w:sz w:val="24"/>
          <w:szCs w:val="24"/>
          <w:lang w:val="en-GB"/>
        </w:rPr>
      </w:pPr>
      <w:r w:rsidRPr="003778C4">
        <w:rPr>
          <w:rFonts w:cs="Times New Roman"/>
          <w:sz w:val="24"/>
          <w:szCs w:val="24"/>
          <w:lang w:val="en-GB"/>
        </w:rPr>
        <w:t>2. The question on the use of skills: What do adults take</w:t>
      </w:r>
      <w:r w:rsidR="00A02933" w:rsidRPr="003778C4">
        <w:rPr>
          <w:rFonts w:cs="Times New Roman"/>
          <w:sz w:val="24"/>
          <w:szCs w:val="24"/>
          <w:lang w:val="en-GB"/>
        </w:rPr>
        <w:t xml:space="preserve"> </w:t>
      </w:r>
      <w:r w:rsidRPr="003778C4">
        <w:rPr>
          <w:rFonts w:cs="Times New Roman"/>
          <w:sz w:val="24"/>
          <w:szCs w:val="24"/>
          <w:lang w:val="en-GB"/>
        </w:rPr>
        <w:t>for granted in terms of workplace related use of mathematics?</w:t>
      </w:r>
      <w:r w:rsidR="00A02933" w:rsidRPr="003778C4">
        <w:rPr>
          <w:rFonts w:cs="Times New Roman"/>
          <w:sz w:val="24"/>
          <w:szCs w:val="24"/>
          <w:lang w:val="en-GB"/>
        </w:rPr>
        <w:t xml:space="preserve"> </w:t>
      </w:r>
      <w:proofErr w:type="gramStart"/>
      <w:r w:rsidR="00A02933" w:rsidRPr="003778C4">
        <w:rPr>
          <w:rFonts w:cs="Times New Roman"/>
          <w:sz w:val="24"/>
          <w:szCs w:val="24"/>
          <w:lang w:val="en-GB"/>
        </w:rPr>
        <w:t>(Straesser, 2015, p. 671).</w:t>
      </w:r>
      <w:proofErr w:type="gramEnd"/>
    </w:p>
    <w:p w:rsidR="0047310E" w:rsidRPr="003778C4" w:rsidRDefault="009E22D7" w:rsidP="00895047">
      <w:pPr>
        <w:pStyle w:val="ICMENormal"/>
        <w:spacing w:after="0" w:line="240" w:lineRule="auto"/>
        <w:rPr>
          <w:rFonts w:cs="Times New Roman"/>
          <w:b/>
          <w:szCs w:val="24"/>
          <w:lang w:val="en-GB"/>
        </w:rPr>
      </w:pPr>
      <w:r w:rsidRPr="003778C4">
        <w:rPr>
          <w:rFonts w:cs="Times New Roman"/>
          <w:szCs w:val="24"/>
          <w:lang w:val="en-GB"/>
        </w:rPr>
        <w:t>On proficiency</w:t>
      </w:r>
      <w:r w:rsidR="007930B3" w:rsidRPr="003778C4">
        <w:rPr>
          <w:rFonts w:cs="Times New Roman"/>
          <w:szCs w:val="24"/>
          <w:lang w:val="en-GB"/>
        </w:rPr>
        <w:t>, Straesser finds that</w:t>
      </w:r>
      <w:r w:rsidRPr="003778C4">
        <w:rPr>
          <w:rFonts w:cs="Times New Roman"/>
          <w:szCs w:val="24"/>
          <w:lang w:val="en-GB"/>
        </w:rPr>
        <w:t>,</w:t>
      </w:r>
      <w:r w:rsidR="007930B3" w:rsidRPr="003778C4">
        <w:rPr>
          <w:rFonts w:cs="Times New Roman"/>
          <w:szCs w:val="24"/>
          <w:lang w:val="en-GB"/>
        </w:rPr>
        <w:t xml:space="preserve"> although a</w:t>
      </w:r>
      <w:r w:rsidRPr="003778C4">
        <w:rPr>
          <w:rFonts w:cs="Times New Roman"/>
          <w:szCs w:val="24"/>
          <w:lang w:val="en-GB"/>
        </w:rPr>
        <w:t>lmost a</w:t>
      </w:r>
      <w:r w:rsidR="007930B3" w:rsidRPr="003778C4">
        <w:rPr>
          <w:rFonts w:cs="Times New Roman"/>
          <w:szCs w:val="24"/>
          <w:lang w:val="en-GB"/>
        </w:rPr>
        <w:t xml:space="preserve"> </w:t>
      </w:r>
      <w:r w:rsidRPr="003778C4">
        <w:rPr>
          <w:rFonts w:cs="Times New Roman"/>
          <w:szCs w:val="24"/>
          <w:lang w:val="en-GB"/>
        </w:rPr>
        <w:t xml:space="preserve">quarter </w:t>
      </w:r>
      <w:r w:rsidR="007930B3" w:rsidRPr="003778C4">
        <w:rPr>
          <w:rFonts w:cs="Times New Roman"/>
          <w:szCs w:val="24"/>
          <w:lang w:val="en-GB"/>
        </w:rPr>
        <w:t>of the PIAAC N questions are reported to be work-related</w:t>
      </w:r>
      <w:r w:rsidR="0047310E" w:rsidRPr="003778C4">
        <w:rPr>
          <w:rFonts w:cs="Times New Roman"/>
          <w:szCs w:val="24"/>
          <w:lang w:val="en-GB"/>
        </w:rPr>
        <w:t>,</w:t>
      </w:r>
      <w:r w:rsidR="007930B3" w:rsidRPr="003778C4">
        <w:rPr>
          <w:rFonts w:cs="Times New Roman"/>
          <w:szCs w:val="24"/>
          <w:lang w:val="en-GB"/>
        </w:rPr>
        <w:t xml:space="preserve"> information </w:t>
      </w:r>
      <w:r w:rsidRPr="003778C4">
        <w:rPr>
          <w:rFonts w:cs="Times New Roman"/>
          <w:szCs w:val="24"/>
          <w:lang w:val="en-GB"/>
        </w:rPr>
        <w:t xml:space="preserve">available </w:t>
      </w:r>
      <w:r w:rsidR="007930B3" w:rsidRPr="003778C4">
        <w:rPr>
          <w:rFonts w:cs="Times New Roman"/>
          <w:szCs w:val="24"/>
          <w:lang w:val="en-GB"/>
        </w:rPr>
        <w:t xml:space="preserve">from the OECD does not provide any results on those questions </w:t>
      </w:r>
      <w:r w:rsidRPr="003778C4">
        <w:rPr>
          <w:rFonts w:cs="Times New Roman"/>
          <w:szCs w:val="24"/>
          <w:lang w:val="en-GB"/>
        </w:rPr>
        <w:t>which migh</w:t>
      </w:r>
      <w:r w:rsidR="007930B3" w:rsidRPr="003778C4">
        <w:rPr>
          <w:rFonts w:cs="Times New Roman"/>
          <w:szCs w:val="24"/>
          <w:lang w:val="en-GB"/>
        </w:rPr>
        <w:t xml:space="preserve">t reveal anything specific about the surveyed adults’ workplace numeracy proficiencies. </w:t>
      </w:r>
      <w:r w:rsidR="00A95829" w:rsidRPr="003778C4">
        <w:rPr>
          <w:rFonts w:cs="Times New Roman"/>
          <w:szCs w:val="24"/>
          <w:lang w:val="en-GB"/>
        </w:rPr>
        <w:t>He</w:t>
      </w:r>
      <w:r w:rsidR="00360C54" w:rsidRPr="003778C4">
        <w:rPr>
          <w:rFonts w:cs="Times New Roman"/>
          <w:szCs w:val="24"/>
          <w:lang w:val="en-GB"/>
        </w:rPr>
        <w:t xml:space="preserve"> does </w:t>
      </w:r>
      <w:r w:rsidR="00160A2A" w:rsidRPr="003778C4">
        <w:rPr>
          <w:rFonts w:cs="Times New Roman"/>
          <w:szCs w:val="24"/>
          <w:lang w:val="en-GB"/>
        </w:rPr>
        <w:t xml:space="preserve">find </w:t>
      </w:r>
      <w:r w:rsidR="00360C54" w:rsidRPr="003778C4">
        <w:rPr>
          <w:rFonts w:cs="Times New Roman"/>
          <w:szCs w:val="24"/>
          <w:lang w:val="en-GB"/>
        </w:rPr>
        <w:t xml:space="preserve">information </w:t>
      </w:r>
      <w:r w:rsidRPr="003778C4">
        <w:rPr>
          <w:rFonts w:cs="Times New Roman"/>
          <w:szCs w:val="24"/>
          <w:lang w:val="en-GB"/>
        </w:rPr>
        <w:t xml:space="preserve">about the use of skills, in </w:t>
      </w:r>
      <w:r w:rsidR="00571932" w:rsidRPr="003778C4">
        <w:rPr>
          <w:rFonts w:cs="Times New Roman"/>
          <w:szCs w:val="24"/>
          <w:lang w:val="en-GB"/>
        </w:rPr>
        <w:t>the demographic and occupational data from the sel</w:t>
      </w:r>
      <w:r w:rsidR="00360C54" w:rsidRPr="003778C4">
        <w:rPr>
          <w:rFonts w:cs="Times New Roman"/>
          <w:szCs w:val="24"/>
          <w:lang w:val="en-GB"/>
        </w:rPr>
        <w:t xml:space="preserve">f-reported background questionnaire of the </w:t>
      </w:r>
      <w:r w:rsidR="00571932" w:rsidRPr="003778C4">
        <w:rPr>
          <w:rFonts w:cs="Times New Roman"/>
          <w:szCs w:val="24"/>
          <w:lang w:val="en-GB"/>
        </w:rPr>
        <w:t>PIAAC</w:t>
      </w:r>
      <w:r w:rsidR="00360C54" w:rsidRPr="003778C4">
        <w:rPr>
          <w:rFonts w:cs="Times New Roman"/>
          <w:szCs w:val="24"/>
          <w:lang w:val="en-GB"/>
        </w:rPr>
        <w:t>.</w:t>
      </w:r>
      <w:r w:rsidR="00571932" w:rsidRPr="003778C4">
        <w:rPr>
          <w:rFonts w:cs="Times New Roman"/>
          <w:szCs w:val="24"/>
          <w:lang w:val="en-GB"/>
        </w:rPr>
        <w:t xml:space="preserve"> He believe</w:t>
      </w:r>
      <w:r w:rsidRPr="003778C4">
        <w:rPr>
          <w:rFonts w:cs="Times New Roman"/>
          <w:szCs w:val="24"/>
          <w:lang w:val="en-GB"/>
        </w:rPr>
        <w:t>s</w:t>
      </w:r>
      <w:r w:rsidR="00571932" w:rsidRPr="003778C4">
        <w:rPr>
          <w:rFonts w:cs="Times New Roman"/>
          <w:szCs w:val="24"/>
          <w:lang w:val="en-GB"/>
        </w:rPr>
        <w:t xml:space="preserve"> that the PIAAC data could be exploited further, suggesting:</w:t>
      </w:r>
      <w:r w:rsidR="00432ECF" w:rsidRPr="003778C4">
        <w:rPr>
          <w:rFonts w:cs="Times New Roman"/>
          <w:szCs w:val="24"/>
          <w:lang w:val="en-GB"/>
        </w:rPr>
        <w:t xml:space="preserve"> “</w:t>
      </w:r>
      <w:r w:rsidR="00571932" w:rsidRPr="003778C4">
        <w:rPr>
          <w:rFonts w:cs="Times New Roman"/>
          <w:szCs w:val="24"/>
          <w:lang w:val="en-GB"/>
        </w:rPr>
        <w:t>A more detailed analysis (e.g. by means of comparing workplace related items with other assessment items) could produce even deeper insight into the situation of numeracy at workplaces” (p. 672).</w:t>
      </w:r>
    </w:p>
    <w:p w:rsidR="00895047" w:rsidRDefault="00895047" w:rsidP="00895047">
      <w:pPr>
        <w:pStyle w:val="ICMENormal"/>
        <w:spacing w:after="0" w:line="240" w:lineRule="auto"/>
        <w:rPr>
          <w:rFonts w:cs="Times New Roman"/>
          <w:szCs w:val="24"/>
          <w:lang w:val="en-GB"/>
        </w:rPr>
      </w:pPr>
    </w:p>
    <w:p w:rsidR="00571932" w:rsidRPr="003778C4" w:rsidRDefault="00E42CCB" w:rsidP="00895047">
      <w:pPr>
        <w:pStyle w:val="ICMENormal"/>
        <w:spacing w:after="0" w:line="240" w:lineRule="auto"/>
        <w:rPr>
          <w:rFonts w:cs="Times New Roman"/>
          <w:szCs w:val="24"/>
          <w:lang w:val="en-GB"/>
        </w:rPr>
      </w:pPr>
      <w:r w:rsidRPr="003778C4">
        <w:rPr>
          <w:rFonts w:cs="Times New Roman"/>
          <w:szCs w:val="24"/>
          <w:lang w:val="en-GB"/>
        </w:rPr>
        <w:t xml:space="preserve">Straesser could be characterised as a selective </w:t>
      </w:r>
      <w:r w:rsidR="005816E4" w:rsidRPr="003778C4">
        <w:rPr>
          <w:rFonts w:cs="Times New Roman"/>
          <w:szCs w:val="24"/>
          <w:lang w:val="en-GB"/>
        </w:rPr>
        <w:t xml:space="preserve">and considered </w:t>
      </w:r>
      <w:r w:rsidRPr="003778C4">
        <w:rPr>
          <w:rFonts w:cs="Times New Roman"/>
          <w:szCs w:val="24"/>
          <w:lang w:val="en-GB"/>
        </w:rPr>
        <w:t>‘user’ of the OECD’</w:t>
      </w:r>
      <w:r w:rsidR="00313FE1" w:rsidRPr="003778C4">
        <w:rPr>
          <w:rFonts w:cs="Times New Roman"/>
          <w:szCs w:val="24"/>
          <w:lang w:val="en-GB"/>
        </w:rPr>
        <w:t>s initiatives, seeking to find information that could build on the existing kno</w:t>
      </w:r>
      <w:r w:rsidR="005816E4" w:rsidRPr="003778C4">
        <w:rPr>
          <w:rFonts w:cs="Times New Roman"/>
          <w:szCs w:val="24"/>
          <w:lang w:val="en-GB"/>
        </w:rPr>
        <w:t>wledge about workplace numeracy</w:t>
      </w:r>
      <w:r w:rsidR="00313FE1" w:rsidRPr="003778C4">
        <w:rPr>
          <w:rFonts w:cs="Times New Roman"/>
          <w:szCs w:val="24"/>
          <w:lang w:val="en-GB"/>
        </w:rPr>
        <w:t>:</w:t>
      </w:r>
      <w:r w:rsidRPr="003778C4">
        <w:rPr>
          <w:rFonts w:cs="Times New Roman"/>
          <w:szCs w:val="24"/>
          <w:lang w:val="en-GB"/>
        </w:rPr>
        <w:t xml:space="preserve"> </w:t>
      </w:r>
      <w:r w:rsidR="00805FB7" w:rsidRPr="003778C4">
        <w:rPr>
          <w:rFonts w:cs="Times New Roman"/>
          <w:szCs w:val="24"/>
          <w:lang w:val="en-GB"/>
        </w:rPr>
        <w:t>“</w:t>
      </w:r>
      <w:r w:rsidR="00571932" w:rsidRPr="003778C4">
        <w:rPr>
          <w:rFonts w:cs="Times New Roman"/>
          <w:szCs w:val="24"/>
          <w:lang w:val="en-GB"/>
        </w:rPr>
        <w:t xml:space="preserve">As long as one takes the operationalization of variables for granted and as long as one takes self-reports as a valid and reliable picture of the workplace situation, PIAAC offers most interesting information on numeracy at </w:t>
      </w:r>
      <w:r w:rsidR="00805FB7" w:rsidRPr="003778C4">
        <w:rPr>
          <w:rFonts w:cs="Times New Roman"/>
          <w:szCs w:val="24"/>
          <w:lang w:val="en-GB"/>
        </w:rPr>
        <w:t xml:space="preserve">work” </w:t>
      </w:r>
      <w:r w:rsidR="00571932" w:rsidRPr="003778C4">
        <w:rPr>
          <w:rFonts w:cs="Times New Roman"/>
          <w:szCs w:val="24"/>
          <w:lang w:val="en-GB"/>
        </w:rPr>
        <w:t>(p. 672).</w:t>
      </w:r>
    </w:p>
    <w:p w:rsidR="00313FE1" w:rsidRPr="003778C4" w:rsidRDefault="00313FE1" w:rsidP="00895047">
      <w:pPr>
        <w:pStyle w:val="ICMENormal"/>
        <w:spacing w:after="0" w:line="240" w:lineRule="auto"/>
        <w:rPr>
          <w:rFonts w:cs="Times New Roman"/>
          <w:szCs w:val="24"/>
          <w:lang w:val="en-GB"/>
        </w:rPr>
      </w:pPr>
      <w:r w:rsidRPr="003778C4">
        <w:rPr>
          <w:rFonts w:cs="Times New Roman"/>
          <w:szCs w:val="24"/>
          <w:lang w:val="en-GB"/>
        </w:rPr>
        <w:t>While stating that he is not particularly interested in the national comparisons and the international league tables produced about each of the PIAAC domains, he is not unaware of the larger political agendas of the OECD:</w:t>
      </w:r>
    </w:p>
    <w:p w:rsidR="00313FE1" w:rsidRPr="003778C4" w:rsidRDefault="00394CC2" w:rsidP="00895047">
      <w:pPr>
        <w:pStyle w:val="ICMEQuote"/>
        <w:spacing w:after="0" w:line="240" w:lineRule="auto"/>
        <w:rPr>
          <w:rFonts w:cs="Times New Roman"/>
          <w:sz w:val="24"/>
          <w:szCs w:val="24"/>
          <w:lang w:val="en-GB" w:eastAsia="ja-JP"/>
        </w:rPr>
      </w:pPr>
      <w:r w:rsidRPr="003778C4">
        <w:rPr>
          <w:rFonts w:cs="Times New Roman"/>
          <w:sz w:val="24"/>
          <w:szCs w:val="24"/>
          <w:lang w:val="en-GB"/>
        </w:rPr>
        <w:t>…large scale surveys that ask a specific set of questions, such as the PIAAC, are usually partly politically motivated. Presenting the results based on the participating nations’ numeracy skills is a hint that PIAAC carries with it political purposes/ agendas.</w:t>
      </w:r>
      <w:r w:rsidR="00A23B8D" w:rsidRPr="003778C4">
        <w:rPr>
          <w:rFonts w:cs="Times New Roman"/>
          <w:sz w:val="24"/>
          <w:szCs w:val="24"/>
          <w:lang w:val="en-GB"/>
        </w:rPr>
        <w:t xml:space="preserve"> </w:t>
      </w:r>
      <w:r w:rsidR="00970531" w:rsidRPr="003778C4">
        <w:rPr>
          <w:rFonts w:cs="Times New Roman"/>
          <w:sz w:val="24"/>
          <w:szCs w:val="24"/>
          <w:lang w:val="en-GB"/>
        </w:rPr>
        <w:t xml:space="preserve">Politicians can use these rankings to either praise their work or to push for political moves. </w:t>
      </w:r>
      <w:r w:rsidRPr="003778C4">
        <w:rPr>
          <w:rFonts w:cs="Times New Roman"/>
          <w:sz w:val="24"/>
          <w:szCs w:val="24"/>
          <w:lang w:val="en-GB"/>
        </w:rPr>
        <w:t>(p. 672)</w:t>
      </w:r>
    </w:p>
    <w:p w:rsidR="00895047" w:rsidRDefault="00895047" w:rsidP="00895047">
      <w:pPr>
        <w:pStyle w:val="ICMENormal"/>
        <w:spacing w:after="0" w:line="240" w:lineRule="auto"/>
        <w:rPr>
          <w:rFonts w:cs="Times New Roman"/>
          <w:szCs w:val="24"/>
          <w:lang w:val="en-GB" w:eastAsia="ja-JP"/>
        </w:rPr>
      </w:pPr>
    </w:p>
    <w:p w:rsidR="00FA2328" w:rsidRPr="003778C4" w:rsidRDefault="005816E4" w:rsidP="00895047">
      <w:pPr>
        <w:pStyle w:val="ICMENormal"/>
        <w:spacing w:after="0" w:line="240" w:lineRule="auto"/>
        <w:rPr>
          <w:rFonts w:cs="Times New Roman"/>
          <w:szCs w:val="24"/>
          <w:lang w:val="en-GB"/>
        </w:rPr>
      </w:pPr>
      <w:r w:rsidRPr="003778C4">
        <w:rPr>
          <w:rFonts w:cs="Times New Roman"/>
          <w:szCs w:val="24"/>
          <w:lang w:val="en-GB" w:eastAsia="ja-JP"/>
        </w:rPr>
        <w:t>Finally, i</w:t>
      </w:r>
      <w:r w:rsidR="00FA2328" w:rsidRPr="003778C4">
        <w:rPr>
          <w:rFonts w:cs="Times New Roman"/>
          <w:szCs w:val="24"/>
          <w:lang w:val="en-GB" w:eastAsia="ja-JP"/>
        </w:rPr>
        <w:t>t would be difficult to argue that Straesser is seeking to influence policy in his article.</w:t>
      </w:r>
      <w:r w:rsidR="00FA2328" w:rsidRPr="003778C4">
        <w:rPr>
          <w:rFonts w:cs="Times New Roman"/>
          <w:szCs w:val="24"/>
          <w:lang w:val="en-GB"/>
        </w:rPr>
        <w:t xml:space="preserve"> However, he expresses a concern about the use of the term </w:t>
      </w:r>
      <w:r w:rsidR="00A95829" w:rsidRPr="003778C4">
        <w:rPr>
          <w:rFonts w:cs="Times New Roman"/>
          <w:szCs w:val="24"/>
          <w:lang w:val="en-GB"/>
        </w:rPr>
        <w:t>‘numeracy’:</w:t>
      </w:r>
    </w:p>
    <w:p w:rsidR="00FA2328" w:rsidRPr="003778C4" w:rsidRDefault="00FA2328" w:rsidP="00895047">
      <w:pPr>
        <w:pStyle w:val="ICMEQuote"/>
        <w:spacing w:after="0" w:line="240" w:lineRule="auto"/>
        <w:rPr>
          <w:rFonts w:cs="Times New Roman"/>
          <w:color w:val="0000FF"/>
          <w:sz w:val="24"/>
          <w:szCs w:val="24"/>
          <w:lang w:val="en-GB"/>
        </w:rPr>
      </w:pPr>
      <w:r w:rsidRPr="003778C4">
        <w:rPr>
          <w:rFonts w:cs="Times New Roman"/>
          <w:sz w:val="24"/>
          <w:szCs w:val="24"/>
          <w:lang w:val="en-GB"/>
        </w:rPr>
        <w:t>The term often takes an inadequate meaning because—</w:t>
      </w:r>
      <w:r w:rsidRPr="003778C4">
        <w:rPr>
          <w:rFonts w:cs="Times New Roman"/>
          <w:i/>
          <w:sz w:val="24"/>
          <w:szCs w:val="24"/>
          <w:lang w:val="en-GB" w:eastAsia="ja-JP"/>
        </w:rPr>
        <w:t>in workplace contexts</w:t>
      </w:r>
      <w:r w:rsidRPr="003778C4">
        <w:rPr>
          <w:rFonts w:cs="Times New Roman"/>
          <w:sz w:val="24"/>
          <w:szCs w:val="24"/>
          <w:lang w:val="en-GB"/>
        </w:rPr>
        <w:t>—it has a weak association with numbers,</w:t>
      </w:r>
      <w:r w:rsidR="009C4B3D" w:rsidRPr="003778C4">
        <w:rPr>
          <w:rFonts w:cs="Times New Roman"/>
          <w:sz w:val="24"/>
          <w:szCs w:val="24"/>
          <w:lang w:val="en-GB"/>
        </w:rPr>
        <w:t xml:space="preserve"> </w:t>
      </w:r>
      <w:r w:rsidRPr="003778C4">
        <w:rPr>
          <w:rFonts w:cs="Times New Roman"/>
          <w:sz w:val="24"/>
          <w:szCs w:val="24"/>
          <w:lang w:val="en-GB"/>
        </w:rPr>
        <w:t xml:space="preserve">and underplays the role of other mathematical topics like algebra </w:t>
      </w:r>
      <w:r w:rsidR="005816E4" w:rsidRPr="003778C4">
        <w:rPr>
          <w:rFonts w:cs="Times New Roman"/>
          <w:sz w:val="24"/>
          <w:szCs w:val="24"/>
          <w:lang w:val="en-GB"/>
        </w:rPr>
        <w:t>…</w:t>
      </w:r>
      <w:r w:rsidRPr="003778C4">
        <w:rPr>
          <w:rFonts w:cs="Times New Roman"/>
          <w:sz w:val="24"/>
          <w:szCs w:val="24"/>
          <w:lang w:val="en-GB"/>
        </w:rPr>
        <w:t>,</w:t>
      </w:r>
      <w:r w:rsidR="009C4B3D" w:rsidRPr="003778C4">
        <w:rPr>
          <w:rFonts w:cs="Times New Roman"/>
          <w:sz w:val="24"/>
          <w:szCs w:val="24"/>
          <w:lang w:val="en-GB"/>
        </w:rPr>
        <w:t xml:space="preserve"> </w:t>
      </w:r>
      <w:r w:rsidRPr="003778C4">
        <w:rPr>
          <w:rFonts w:cs="Times New Roman"/>
          <w:sz w:val="24"/>
          <w:szCs w:val="24"/>
          <w:lang w:val="en-GB"/>
        </w:rPr>
        <w:t>geometry and stochastics within the workplace and society at large. In addition, ‘numeracy at work’ suggests a uniformity of numeracy related to workplace contexts, which is not the case</w:t>
      </w:r>
      <w:r w:rsidR="009C4B3D" w:rsidRPr="003778C4">
        <w:rPr>
          <w:rFonts w:cs="Times New Roman"/>
          <w:sz w:val="24"/>
          <w:szCs w:val="24"/>
          <w:lang w:val="en-GB"/>
        </w:rPr>
        <w:t>..</w:t>
      </w:r>
      <w:r w:rsidRPr="003778C4">
        <w:rPr>
          <w:rFonts w:cs="Times New Roman"/>
          <w:sz w:val="24"/>
          <w:szCs w:val="24"/>
          <w:lang w:val="en-GB"/>
        </w:rPr>
        <w:t>.</w:t>
      </w:r>
      <w:r w:rsidR="009C4B3D" w:rsidRPr="003778C4">
        <w:rPr>
          <w:rFonts w:cs="Times New Roman"/>
          <w:sz w:val="24"/>
          <w:szCs w:val="24"/>
          <w:lang w:val="en-GB"/>
        </w:rPr>
        <w:t xml:space="preserve"> (p. 672). (</w:t>
      </w:r>
      <w:proofErr w:type="gramStart"/>
      <w:r w:rsidR="009C4B3D" w:rsidRPr="003778C4">
        <w:rPr>
          <w:rFonts w:cs="Times New Roman"/>
          <w:sz w:val="24"/>
          <w:szCs w:val="24"/>
          <w:lang w:val="en-GB"/>
        </w:rPr>
        <w:t>emphasis</w:t>
      </w:r>
      <w:proofErr w:type="gramEnd"/>
      <w:r w:rsidR="009C4B3D" w:rsidRPr="003778C4">
        <w:rPr>
          <w:rFonts w:cs="Times New Roman"/>
          <w:sz w:val="24"/>
          <w:szCs w:val="24"/>
          <w:lang w:val="en-GB"/>
        </w:rPr>
        <w:t xml:space="preserve"> added)</w:t>
      </w:r>
    </w:p>
    <w:p w:rsidR="00895047" w:rsidRDefault="00895047" w:rsidP="00895047">
      <w:pPr>
        <w:pStyle w:val="ICMENormal"/>
        <w:spacing w:after="0" w:line="240" w:lineRule="auto"/>
        <w:rPr>
          <w:rFonts w:cs="Times New Roman"/>
          <w:b/>
          <w:i/>
          <w:szCs w:val="24"/>
          <w:lang w:val="en-GB"/>
        </w:rPr>
      </w:pPr>
    </w:p>
    <w:p w:rsidR="00443394" w:rsidRPr="003778C4" w:rsidRDefault="00443394" w:rsidP="00895047">
      <w:pPr>
        <w:pStyle w:val="ICMENormal"/>
        <w:spacing w:after="0" w:line="240" w:lineRule="auto"/>
        <w:rPr>
          <w:rFonts w:cs="Times New Roman"/>
          <w:b/>
          <w:szCs w:val="24"/>
          <w:lang w:val="en-GB"/>
        </w:rPr>
      </w:pPr>
      <w:proofErr w:type="spellStart"/>
      <w:r w:rsidRPr="003778C4">
        <w:rPr>
          <w:rFonts w:cs="Times New Roman"/>
          <w:b/>
          <w:i/>
          <w:szCs w:val="24"/>
          <w:lang w:val="en-GB"/>
        </w:rPr>
        <w:t>Carpentieri</w:t>
      </w:r>
      <w:proofErr w:type="spellEnd"/>
      <w:r w:rsidRPr="003778C4">
        <w:rPr>
          <w:rFonts w:cs="Times New Roman"/>
          <w:szCs w:val="24"/>
          <w:lang w:val="en-GB"/>
        </w:rPr>
        <w:t xml:space="preserve"> (2015) aims to suggest a way out of what he sees as the current “policy impasse”, whereby policy makers “have [quantitative] data on (literacy or numeracy) proficiency, but these data do not point the way to improving proficiency” (p</w:t>
      </w:r>
      <w:r w:rsidR="00A83491" w:rsidRPr="003778C4">
        <w:rPr>
          <w:rFonts w:cs="Times New Roman"/>
          <w:szCs w:val="24"/>
          <w:lang w:val="en-GB"/>
        </w:rPr>
        <w:t xml:space="preserve">. </w:t>
      </w:r>
      <w:r w:rsidRPr="003778C4">
        <w:rPr>
          <w:rFonts w:cs="Times New Roman"/>
          <w:szCs w:val="24"/>
          <w:lang w:val="en-GB"/>
        </w:rPr>
        <w:t xml:space="preserve">96). </w:t>
      </w:r>
      <w:r w:rsidR="00CC0F2F" w:rsidRPr="003778C4">
        <w:rPr>
          <w:rFonts w:cs="Times New Roman"/>
          <w:szCs w:val="24"/>
          <w:lang w:val="en-GB"/>
        </w:rPr>
        <w:t>Indeed,</w:t>
      </w:r>
      <w:r w:rsidRPr="003778C4">
        <w:rPr>
          <w:rFonts w:cs="Times New Roman"/>
          <w:szCs w:val="24"/>
          <w:lang w:val="en-GB"/>
        </w:rPr>
        <w:t xml:space="preserve"> the</w:t>
      </w:r>
      <w:r w:rsidR="00160A2A" w:rsidRPr="003778C4">
        <w:rPr>
          <w:rFonts w:cs="Times New Roman"/>
          <w:szCs w:val="24"/>
          <w:lang w:val="en-GB"/>
        </w:rPr>
        <w:t xml:space="preserve"> comparison of the 2003 and 2011</w:t>
      </w:r>
      <w:r w:rsidRPr="003778C4">
        <w:rPr>
          <w:rFonts w:cs="Times New Roman"/>
          <w:szCs w:val="24"/>
          <w:lang w:val="en-GB"/>
        </w:rPr>
        <w:t xml:space="preserve"> Skills for Life (national proficiency) surveys in the UK shows the literacy scores as more or less unchanged </w:t>
      </w:r>
      <w:r w:rsidR="00B8683E" w:rsidRPr="003778C4">
        <w:rPr>
          <w:rFonts w:cs="Times New Roman"/>
          <w:szCs w:val="24"/>
          <w:lang w:val="en-GB"/>
        </w:rPr>
        <w:t>(</w:t>
      </w:r>
      <w:r w:rsidRPr="003778C4">
        <w:rPr>
          <w:rFonts w:cs="Times New Roman"/>
          <w:szCs w:val="24"/>
          <w:lang w:val="en-GB"/>
        </w:rPr>
        <w:t>while the numeracy scores declined slightly</w:t>
      </w:r>
      <w:r w:rsidR="00B8683E" w:rsidRPr="003778C4">
        <w:rPr>
          <w:rFonts w:cs="Times New Roman"/>
          <w:szCs w:val="24"/>
          <w:lang w:val="en-GB"/>
        </w:rPr>
        <w:t>)</w:t>
      </w:r>
      <w:r w:rsidR="00A448BA" w:rsidRPr="003778C4">
        <w:rPr>
          <w:rFonts w:cs="Times New Roman"/>
          <w:szCs w:val="24"/>
          <w:lang w:val="en-GB"/>
        </w:rPr>
        <w:t>, even after controlling for number of non-native English speakers</w:t>
      </w:r>
      <w:r w:rsidRPr="003778C4">
        <w:rPr>
          <w:rFonts w:cs="Times New Roman"/>
          <w:szCs w:val="24"/>
          <w:lang w:val="en-GB"/>
        </w:rPr>
        <w:t>.</w:t>
      </w:r>
      <w:r w:rsidR="00B8683E" w:rsidRPr="003778C4">
        <w:rPr>
          <w:rFonts w:cs="Times New Roman"/>
          <w:szCs w:val="24"/>
          <w:lang w:val="en-GB"/>
        </w:rPr>
        <w:t xml:space="preserve"> </w:t>
      </w:r>
      <w:r w:rsidR="00970531" w:rsidRPr="003778C4">
        <w:rPr>
          <w:rFonts w:cs="Times New Roman"/>
          <w:szCs w:val="24"/>
          <w:lang w:val="en-GB"/>
        </w:rPr>
        <w:t>(</w:t>
      </w:r>
      <w:proofErr w:type="spellStart"/>
      <w:r w:rsidR="00A448BA" w:rsidRPr="003778C4">
        <w:rPr>
          <w:rFonts w:cs="Times New Roman"/>
          <w:szCs w:val="24"/>
          <w:lang w:val="en-GB"/>
        </w:rPr>
        <w:t>Carpentieri’s</w:t>
      </w:r>
      <w:proofErr w:type="spellEnd"/>
      <w:r w:rsidR="00A448BA" w:rsidRPr="003778C4">
        <w:rPr>
          <w:rFonts w:cs="Times New Roman"/>
          <w:szCs w:val="24"/>
          <w:lang w:val="en-GB"/>
        </w:rPr>
        <w:t xml:space="preserve"> </w:t>
      </w:r>
      <w:r w:rsidR="00B8683E" w:rsidRPr="003778C4">
        <w:rPr>
          <w:rFonts w:cs="Times New Roman"/>
          <w:szCs w:val="24"/>
          <w:lang w:val="en-GB"/>
        </w:rPr>
        <w:t>paper focuses almost exclusively on literacy, but similar arguments can be made for numeracy.)</w:t>
      </w:r>
    </w:p>
    <w:p w:rsidR="00895047" w:rsidRDefault="00895047" w:rsidP="00895047">
      <w:pPr>
        <w:pStyle w:val="ICMENormal"/>
        <w:spacing w:after="0" w:line="240" w:lineRule="auto"/>
        <w:rPr>
          <w:rFonts w:cs="Times New Roman"/>
          <w:szCs w:val="24"/>
          <w:lang w:val="en-GB"/>
        </w:rPr>
      </w:pPr>
    </w:p>
    <w:p w:rsidR="00443394" w:rsidRPr="003778C4" w:rsidRDefault="00291B70" w:rsidP="00895047">
      <w:pPr>
        <w:pStyle w:val="ICMENormal"/>
        <w:spacing w:after="0" w:line="240" w:lineRule="auto"/>
        <w:rPr>
          <w:rFonts w:cs="Times New Roman"/>
          <w:szCs w:val="24"/>
          <w:lang w:val="en-GB"/>
        </w:rPr>
      </w:pPr>
      <w:r w:rsidRPr="003778C4">
        <w:rPr>
          <w:rFonts w:cs="Times New Roman"/>
          <w:szCs w:val="24"/>
          <w:lang w:val="en-GB"/>
        </w:rPr>
        <w:t>He d</w:t>
      </w:r>
      <w:r w:rsidR="00443394" w:rsidRPr="003778C4">
        <w:rPr>
          <w:rFonts w:cs="Times New Roman"/>
          <w:szCs w:val="24"/>
          <w:lang w:val="en-GB"/>
        </w:rPr>
        <w:t>raw</w:t>
      </w:r>
      <w:r w:rsidRPr="003778C4">
        <w:rPr>
          <w:rFonts w:cs="Times New Roman"/>
          <w:szCs w:val="24"/>
          <w:lang w:val="en-GB"/>
        </w:rPr>
        <w:t>s</w:t>
      </w:r>
      <w:r w:rsidR="00443394" w:rsidRPr="003778C4">
        <w:rPr>
          <w:rFonts w:cs="Times New Roman"/>
          <w:szCs w:val="24"/>
          <w:lang w:val="en-GB"/>
        </w:rPr>
        <w:t xml:space="preserve"> on a policy framework from the European High Level Group of Experts on </w:t>
      </w:r>
      <w:r w:rsidR="00CC0F2F" w:rsidRPr="003778C4">
        <w:rPr>
          <w:rFonts w:cs="Times New Roman"/>
          <w:szCs w:val="24"/>
          <w:lang w:val="en-GB"/>
        </w:rPr>
        <w:t>Lit</w:t>
      </w:r>
      <w:r w:rsidR="00443394" w:rsidRPr="003778C4">
        <w:rPr>
          <w:rFonts w:cs="Times New Roman"/>
          <w:szCs w:val="24"/>
          <w:lang w:val="en-GB"/>
        </w:rPr>
        <w:t>eracy (EU-HLG, 2012), notably its aim to foster more of a ‘literate environment’ in European societies, that is an environment where the broader culture encourages participants to engage in a variety of reading practices, rather than few or none (pp</w:t>
      </w:r>
      <w:r w:rsidR="00A83491" w:rsidRPr="003778C4">
        <w:rPr>
          <w:rFonts w:cs="Times New Roman"/>
          <w:szCs w:val="24"/>
          <w:lang w:val="en-GB"/>
        </w:rPr>
        <w:t xml:space="preserve">. </w:t>
      </w:r>
      <w:r w:rsidR="00443394" w:rsidRPr="003778C4">
        <w:rPr>
          <w:rFonts w:cs="Times New Roman"/>
          <w:szCs w:val="24"/>
          <w:lang w:val="en-GB"/>
        </w:rPr>
        <w:t xml:space="preserve">97-98). </w:t>
      </w:r>
      <w:r w:rsidRPr="003778C4">
        <w:rPr>
          <w:rFonts w:cs="Times New Roman"/>
          <w:szCs w:val="24"/>
          <w:lang w:val="en-GB"/>
        </w:rPr>
        <w:t xml:space="preserve">He also wishes to overcome a fragmentation in the adult skills sector, where qualitative researchers produce descriptions of everyday practices, and quantitative researchers study standardised test scores. Because of the wealth of data available from the PIAAC Background </w:t>
      </w:r>
      <w:r w:rsidRPr="003778C4">
        <w:rPr>
          <w:rFonts w:cs="Times New Roman"/>
          <w:szCs w:val="24"/>
          <w:lang w:val="en-GB"/>
        </w:rPr>
        <w:lastRenderedPageBreak/>
        <w:t>Questionnaire on use of reading (and also numerate practices and IT skills) in everyday and work contexts, there can be cooperation among researchers, and policy makers can supplement the data on proficiencies, with other available data on literacy (and numeracy</w:t>
      </w:r>
      <w:r w:rsidR="00B8683E" w:rsidRPr="003778C4">
        <w:rPr>
          <w:rFonts w:cs="Times New Roman"/>
          <w:szCs w:val="24"/>
          <w:lang w:val="en-GB"/>
        </w:rPr>
        <w:t>)</w:t>
      </w:r>
      <w:r w:rsidRPr="003778C4">
        <w:rPr>
          <w:rFonts w:cs="Times New Roman"/>
          <w:szCs w:val="24"/>
          <w:lang w:val="en-GB"/>
        </w:rPr>
        <w:t xml:space="preserve"> practices. So </w:t>
      </w:r>
      <w:proofErr w:type="spellStart"/>
      <w:r w:rsidRPr="003778C4">
        <w:rPr>
          <w:rFonts w:cs="Times New Roman"/>
          <w:szCs w:val="24"/>
          <w:lang w:val="en-GB"/>
        </w:rPr>
        <w:t>Carpentieri‘s</w:t>
      </w:r>
      <w:proofErr w:type="spellEnd"/>
      <w:r w:rsidRPr="003778C4">
        <w:rPr>
          <w:rFonts w:cs="Times New Roman"/>
          <w:szCs w:val="24"/>
          <w:lang w:val="en-GB"/>
        </w:rPr>
        <w:t xml:space="preserve"> overall aim is to ensure that PIAAC data on </w:t>
      </w:r>
      <w:r w:rsidR="00B8683E" w:rsidRPr="003778C4">
        <w:rPr>
          <w:rFonts w:cs="Times New Roman"/>
          <w:szCs w:val="24"/>
          <w:lang w:val="en-GB"/>
        </w:rPr>
        <w:t>everyday practices is not overlooked.</w:t>
      </w:r>
    </w:p>
    <w:p w:rsidR="009D191B" w:rsidRPr="003778C4" w:rsidRDefault="00443394" w:rsidP="00895047">
      <w:pPr>
        <w:pStyle w:val="ICMENormal"/>
        <w:spacing w:after="0" w:line="240" w:lineRule="auto"/>
        <w:rPr>
          <w:rFonts w:cs="Times New Roman"/>
          <w:b/>
          <w:szCs w:val="24"/>
          <w:lang w:val="en-GB"/>
        </w:rPr>
      </w:pPr>
      <w:r w:rsidRPr="003778C4">
        <w:rPr>
          <w:rFonts w:cs="Times New Roman"/>
          <w:szCs w:val="24"/>
          <w:lang w:val="en-GB"/>
        </w:rPr>
        <w:t xml:space="preserve">In terms of his </w:t>
      </w:r>
      <w:r w:rsidR="00B8683E" w:rsidRPr="003778C4">
        <w:rPr>
          <w:rFonts w:cs="Times New Roman"/>
          <w:szCs w:val="24"/>
          <w:lang w:val="en-GB"/>
        </w:rPr>
        <w:t xml:space="preserve">position towards the OECD skills agenda, he argues for the use of data on proficiencies – but supplemented with data on everyday (and work) practices. </w:t>
      </w:r>
      <w:r w:rsidR="00AA7A29" w:rsidRPr="003778C4">
        <w:rPr>
          <w:rFonts w:cs="Times New Roman"/>
          <w:szCs w:val="24"/>
          <w:lang w:val="en-GB"/>
        </w:rPr>
        <w:t xml:space="preserve">He accepts that </w:t>
      </w:r>
      <w:r w:rsidR="00246A86" w:rsidRPr="003778C4">
        <w:rPr>
          <w:rFonts w:cs="Times New Roman"/>
          <w:szCs w:val="24"/>
          <w:lang w:val="en-GB"/>
        </w:rPr>
        <w:t>“</w:t>
      </w:r>
      <w:r w:rsidR="000D0CA7" w:rsidRPr="003778C4">
        <w:rPr>
          <w:rFonts w:cs="Times New Roman"/>
          <w:szCs w:val="24"/>
          <w:lang w:val="en-GB"/>
        </w:rPr>
        <w:t xml:space="preserve">in the </w:t>
      </w:r>
      <w:r w:rsidR="00970531" w:rsidRPr="003778C4">
        <w:rPr>
          <w:rFonts w:cs="Times New Roman"/>
          <w:szCs w:val="24"/>
          <w:lang w:val="en-GB"/>
        </w:rPr>
        <w:t>‘</w:t>
      </w:r>
      <w:r w:rsidR="000D0CA7" w:rsidRPr="003778C4">
        <w:rPr>
          <w:rFonts w:cs="Times New Roman"/>
          <w:szCs w:val="24"/>
          <w:lang w:val="en-GB"/>
        </w:rPr>
        <w:t>eval</w:t>
      </w:r>
      <w:r w:rsidR="00970531" w:rsidRPr="003778C4">
        <w:rPr>
          <w:rFonts w:cs="Times New Roman"/>
          <w:szCs w:val="24"/>
          <w:lang w:val="en-GB"/>
        </w:rPr>
        <w:t>uative state’ […]</w:t>
      </w:r>
      <w:r w:rsidR="00AA7A29" w:rsidRPr="003778C4">
        <w:rPr>
          <w:rFonts w:cs="Times New Roman"/>
          <w:szCs w:val="24"/>
          <w:lang w:val="en-GB"/>
        </w:rPr>
        <w:t>, quantitative data are the favoured form of evidence</w:t>
      </w:r>
      <w:r w:rsidR="00246A86" w:rsidRPr="003778C4">
        <w:rPr>
          <w:rFonts w:cs="Times New Roman"/>
          <w:szCs w:val="24"/>
          <w:lang w:val="en-GB"/>
        </w:rPr>
        <w:t>”</w:t>
      </w:r>
      <w:r w:rsidR="00AA7A29" w:rsidRPr="003778C4">
        <w:rPr>
          <w:rFonts w:cs="Times New Roman"/>
          <w:szCs w:val="24"/>
          <w:lang w:val="en-GB"/>
        </w:rPr>
        <w:t xml:space="preserve"> (p</w:t>
      </w:r>
      <w:r w:rsidR="00A83491" w:rsidRPr="003778C4">
        <w:rPr>
          <w:rFonts w:cs="Times New Roman"/>
          <w:szCs w:val="24"/>
          <w:lang w:val="en-GB"/>
        </w:rPr>
        <w:t xml:space="preserve">. </w:t>
      </w:r>
      <w:r w:rsidR="00AA7A29" w:rsidRPr="003778C4">
        <w:rPr>
          <w:rFonts w:cs="Times New Roman"/>
          <w:szCs w:val="24"/>
          <w:lang w:val="en-GB"/>
        </w:rPr>
        <w:t>106). Thus h</w:t>
      </w:r>
      <w:r w:rsidR="00B8683E" w:rsidRPr="003778C4">
        <w:rPr>
          <w:rFonts w:cs="Times New Roman"/>
          <w:szCs w:val="24"/>
          <w:lang w:val="en-GB"/>
        </w:rPr>
        <w:t xml:space="preserve">e does not seek </w:t>
      </w:r>
      <w:r w:rsidR="003C3132" w:rsidRPr="003778C4">
        <w:rPr>
          <w:rFonts w:cs="Times New Roman"/>
          <w:szCs w:val="24"/>
          <w:lang w:val="en-GB"/>
        </w:rPr>
        <w:t xml:space="preserve">to argue against policy makers’ </w:t>
      </w:r>
      <w:r w:rsidR="00B8683E" w:rsidRPr="003778C4">
        <w:rPr>
          <w:rFonts w:cs="Times New Roman"/>
          <w:szCs w:val="24"/>
          <w:lang w:val="en-GB"/>
        </w:rPr>
        <w:t xml:space="preserve">use of quantified data, but rather that they should use the </w:t>
      </w:r>
      <w:r w:rsidR="00AA7A29" w:rsidRPr="003778C4">
        <w:rPr>
          <w:rFonts w:cs="Times New Roman"/>
          <w:szCs w:val="24"/>
          <w:lang w:val="en-GB"/>
        </w:rPr>
        <w:t xml:space="preserve">everyday practices </w:t>
      </w:r>
      <w:r w:rsidR="00B8683E" w:rsidRPr="003778C4">
        <w:rPr>
          <w:rFonts w:cs="Times New Roman"/>
          <w:szCs w:val="24"/>
          <w:lang w:val="en-GB"/>
        </w:rPr>
        <w:t>data as</w:t>
      </w:r>
      <w:r w:rsidR="00A448BA" w:rsidRPr="003778C4">
        <w:rPr>
          <w:rFonts w:cs="Times New Roman"/>
          <w:szCs w:val="24"/>
          <w:lang w:val="en-GB"/>
        </w:rPr>
        <w:t xml:space="preserve"> well</w:t>
      </w:r>
      <w:r w:rsidR="00B8683E" w:rsidRPr="003778C4">
        <w:rPr>
          <w:rFonts w:cs="Times New Roman"/>
          <w:szCs w:val="24"/>
          <w:lang w:val="en-GB"/>
        </w:rPr>
        <w:t>.</w:t>
      </w:r>
    </w:p>
    <w:p w:rsidR="00AA7A29" w:rsidRPr="003778C4" w:rsidRDefault="00AA7A29" w:rsidP="00895047">
      <w:pPr>
        <w:pStyle w:val="ICMENormal"/>
        <w:spacing w:after="0" w:line="240" w:lineRule="auto"/>
        <w:rPr>
          <w:rFonts w:cs="Times New Roman"/>
          <w:b/>
          <w:szCs w:val="24"/>
          <w:lang w:val="en-GB"/>
        </w:rPr>
      </w:pPr>
      <w:proofErr w:type="spellStart"/>
      <w:r w:rsidRPr="003778C4">
        <w:rPr>
          <w:rFonts w:cs="Times New Roman"/>
          <w:szCs w:val="24"/>
          <w:lang w:val="en-GB"/>
        </w:rPr>
        <w:t>Carpentieri</w:t>
      </w:r>
      <w:proofErr w:type="spellEnd"/>
      <w:r w:rsidRPr="003778C4">
        <w:rPr>
          <w:rFonts w:cs="Times New Roman"/>
          <w:szCs w:val="24"/>
          <w:lang w:val="en-GB"/>
        </w:rPr>
        <w:t xml:space="preserve"> seeks via these arguments to influence policy makers, as well as adult skills researchers. He reiterates the argument of EU-HLG (2012) that </w:t>
      </w:r>
      <w:r w:rsidR="00246A86" w:rsidRPr="003778C4">
        <w:rPr>
          <w:rFonts w:cs="Times New Roman"/>
          <w:szCs w:val="24"/>
          <w:lang w:val="en-GB"/>
        </w:rPr>
        <w:t>“</w:t>
      </w:r>
      <w:r w:rsidRPr="003778C4">
        <w:rPr>
          <w:rFonts w:cs="Times New Roman"/>
          <w:szCs w:val="24"/>
          <w:lang w:val="en-GB"/>
        </w:rPr>
        <w:t xml:space="preserve">In the absence of meaningful improvements in levels of everyday literacy </w:t>
      </w:r>
      <w:r w:rsidR="000D0CA7" w:rsidRPr="003778C4">
        <w:rPr>
          <w:rFonts w:cs="Times New Roman"/>
          <w:szCs w:val="24"/>
          <w:lang w:val="en-GB"/>
        </w:rPr>
        <w:t>practices, governm</w:t>
      </w:r>
      <w:r w:rsidRPr="003778C4">
        <w:rPr>
          <w:rFonts w:cs="Times New Roman"/>
          <w:szCs w:val="24"/>
          <w:lang w:val="en-GB"/>
        </w:rPr>
        <w:t>ents are unlikely to achieve their skills goals</w:t>
      </w:r>
      <w:r w:rsidR="00246A86" w:rsidRPr="003778C4">
        <w:rPr>
          <w:rFonts w:cs="Times New Roman"/>
          <w:szCs w:val="24"/>
          <w:lang w:val="en-GB"/>
        </w:rPr>
        <w:t>”</w:t>
      </w:r>
      <w:r w:rsidRPr="003778C4">
        <w:rPr>
          <w:rFonts w:cs="Times New Roman"/>
          <w:szCs w:val="24"/>
          <w:lang w:val="en-GB"/>
        </w:rPr>
        <w:t xml:space="preserve"> (Carpentieri, 2015, p</w:t>
      </w:r>
      <w:r w:rsidR="00A83491" w:rsidRPr="003778C4">
        <w:rPr>
          <w:rFonts w:cs="Times New Roman"/>
          <w:szCs w:val="24"/>
          <w:lang w:val="en-GB"/>
        </w:rPr>
        <w:t xml:space="preserve">. </w:t>
      </w:r>
      <w:r w:rsidRPr="003778C4">
        <w:rPr>
          <w:rFonts w:cs="Times New Roman"/>
          <w:szCs w:val="24"/>
          <w:lang w:val="en-GB"/>
        </w:rPr>
        <w:t>106).</w:t>
      </w:r>
    </w:p>
    <w:p w:rsidR="00895047" w:rsidRDefault="00895047" w:rsidP="00895047">
      <w:pPr>
        <w:pStyle w:val="ICMENormal"/>
        <w:spacing w:after="0" w:line="240" w:lineRule="auto"/>
        <w:rPr>
          <w:rFonts w:cs="Times New Roman"/>
          <w:b/>
          <w:i/>
          <w:szCs w:val="24"/>
          <w:lang w:val="en-GB"/>
        </w:rPr>
      </w:pPr>
    </w:p>
    <w:p w:rsidR="00246A86" w:rsidRDefault="00246A86" w:rsidP="00895047">
      <w:pPr>
        <w:pStyle w:val="ICMENormal"/>
        <w:spacing w:after="0" w:line="240" w:lineRule="auto"/>
        <w:rPr>
          <w:rFonts w:cs="Times New Roman"/>
          <w:szCs w:val="24"/>
          <w:lang w:val="en-GB"/>
        </w:rPr>
      </w:pPr>
      <w:proofErr w:type="spellStart"/>
      <w:r w:rsidRPr="003778C4">
        <w:rPr>
          <w:rFonts w:cs="Times New Roman"/>
          <w:b/>
          <w:i/>
          <w:szCs w:val="24"/>
          <w:lang w:val="en-GB"/>
        </w:rPr>
        <w:t>St.Clair</w:t>
      </w:r>
      <w:proofErr w:type="spellEnd"/>
      <w:r w:rsidRPr="003778C4">
        <w:rPr>
          <w:rFonts w:cs="Times New Roman"/>
          <w:szCs w:val="24"/>
          <w:lang w:val="en-GB"/>
        </w:rPr>
        <w:t xml:space="preserve"> (2014) makes simil</w:t>
      </w:r>
      <w:r w:rsidR="000D0CA7" w:rsidRPr="003778C4">
        <w:rPr>
          <w:rFonts w:cs="Times New Roman"/>
          <w:szCs w:val="24"/>
          <w:lang w:val="en-GB"/>
        </w:rPr>
        <w:t>ar</w:t>
      </w:r>
      <w:r w:rsidRPr="003778C4">
        <w:rPr>
          <w:rFonts w:cs="Times New Roman"/>
          <w:szCs w:val="24"/>
          <w:lang w:val="en-GB"/>
        </w:rPr>
        <w:t xml:space="preserve"> arguments to advocate the use of a range of </w:t>
      </w:r>
      <w:r w:rsidR="00FF1EC7" w:rsidRPr="003778C4">
        <w:rPr>
          <w:rFonts w:cs="Times New Roman"/>
          <w:szCs w:val="24"/>
          <w:lang w:val="en-GB"/>
        </w:rPr>
        <w:t xml:space="preserve">‘ignored’ and </w:t>
      </w:r>
      <w:r w:rsidR="003C3132" w:rsidRPr="003778C4">
        <w:rPr>
          <w:rFonts w:cs="Times New Roman"/>
          <w:szCs w:val="24"/>
          <w:lang w:val="en-GB"/>
        </w:rPr>
        <w:t>‘invisible’ data</w:t>
      </w:r>
      <w:r w:rsidRPr="003778C4">
        <w:rPr>
          <w:rFonts w:cs="Times New Roman"/>
          <w:szCs w:val="24"/>
          <w:lang w:val="en-GB"/>
        </w:rPr>
        <w:t xml:space="preserve"> from PIAAC</w:t>
      </w:r>
      <w:r w:rsidR="00FF1EC7" w:rsidRPr="003778C4">
        <w:rPr>
          <w:rFonts w:cs="Times New Roman"/>
          <w:szCs w:val="24"/>
          <w:lang w:val="en-GB"/>
        </w:rPr>
        <w:t>, e.g. on the distribution of ‘educational goods’ and learning careers</w:t>
      </w:r>
      <w:r w:rsidRPr="003778C4">
        <w:rPr>
          <w:rFonts w:cs="Times New Roman"/>
          <w:szCs w:val="24"/>
          <w:lang w:val="en-GB"/>
        </w:rPr>
        <w:t>.</w:t>
      </w:r>
      <w:r w:rsidR="00FF1EC7" w:rsidRPr="003778C4">
        <w:rPr>
          <w:rFonts w:cs="Times New Roman"/>
          <w:szCs w:val="24"/>
          <w:lang w:val="en-GB"/>
        </w:rPr>
        <w:t xml:space="preserve"> He does question the PIAAC measure of literacy. But he goes on to suggest that, rather than being considered as a tool influencing access to valued ‘social goods’ such as level of trust in others or political efficacy, PIAAC literacy might be considered as an indicator of a social good in its own right</w:t>
      </w:r>
      <w:r w:rsidR="00A36276" w:rsidRPr="003778C4">
        <w:rPr>
          <w:rFonts w:cs="Times New Roman"/>
          <w:szCs w:val="24"/>
          <w:lang w:val="en-GB"/>
        </w:rPr>
        <w:t>, leading to social equity questions about its unequal distribution</w:t>
      </w:r>
      <w:r w:rsidR="00FF1EC7" w:rsidRPr="003778C4">
        <w:rPr>
          <w:rFonts w:cs="Times New Roman"/>
          <w:szCs w:val="24"/>
          <w:lang w:val="en-GB"/>
        </w:rPr>
        <w:t>.</w:t>
      </w:r>
      <w:r w:rsidR="00A36276" w:rsidRPr="003778C4">
        <w:rPr>
          <w:rFonts w:cs="Times New Roman"/>
          <w:szCs w:val="24"/>
          <w:lang w:val="en-GB"/>
        </w:rPr>
        <w:t xml:space="preserve"> He also recommends looking into available clues in the PIAAC data about patterns of adult participation in learning, or ‘learning careers’. He finishes by reminding the reader that the costs of the SAS (conservatively estimated as $150 per respondent) have been borne by the populations of the 24 countries, who therefore deserve some return from the data produced (p</w:t>
      </w:r>
      <w:r w:rsidR="00A83491" w:rsidRPr="003778C4">
        <w:rPr>
          <w:rFonts w:cs="Times New Roman"/>
          <w:szCs w:val="24"/>
          <w:lang w:val="en-GB"/>
        </w:rPr>
        <w:t xml:space="preserve">. </w:t>
      </w:r>
      <w:r w:rsidR="00A36276" w:rsidRPr="003778C4">
        <w:rPr>
          <w:rFonts w:cs="Times New Roman"/>
          <w:szCs w:val="24"/>
          <w:lang w:val="en-GB"/>
        </w:rPr>
        <w:t>204).</w:t>
      </w:r>
    </w:p>
    <w:p w:rsidR="00895047" w:rsidRPr="003778C4" w:rsidRDefault="00895047" w:rsidP="00895047">
      <w:pPr>
        <w:pStyle w:val="ICMENormal"/>
        <w:spacing w:after="0" w:line="240" w:lineRule="auto"/>
        <w:rPr>
          <w:rFonts w:cs="Times New Roman"/>
          <w:b/>
          <w:szCs w:val="24"/>
          <w:lang w:val="en-GB"/>
        </w:rPr>
      </w:pPr>
    </w:p>
    <w:p w:rsidR="00246A86" w:rsidRPr="003778C4" w:rsidRDefault="00D9086A" w:rsidP="00895047">
      <w:pPr>
        <w:pStyle w:val="ICMENormal"/>
        <w:spacing w:after="0" w:line="240" w:lineRule="auto"/>
        <w:rPr>
          <w:rFonts w:cs="Times New Roman"/>
          <w:szCs w:val="24"/>
          <w:lang w:val="en-GB"/>
        </w:rPr>
      </w:pPr>
      <w:r w:rsidRPr="003778C4">
        <w:rPr>
          <w:rFonts w:cs="Times New Roman"/>
          <w:b/>
          <w:i/>
          <w:szCs w:val="24"/>
          <w:lang w:val="en-GB"/>
        </w:rPr>
        <w:t>Reder</w:t>
      </w:r>
      <w:r w:rsidR="00970531" w:rsidRPr="003778C4">
        <w:rPr>
          <w:rFonts w:cs="Times New Roman"/>
          <w:szCs w:val="24"/>
          <w:lang w:val="en-GB"/>
        </w:rPr>
        <w:t xml:space="preserve"> (2015</w:t>
      </w:r>
      <w:r w:rsidRPr="003778C4">
        <w:rPr>
          <w:rFonts w:cs="Times New Roman"/>
          <w:szCs w:val="24"/>
          <w:lang w:val="en-GB"/>
        </w:rPr>
        <w:t>) aims to build a more equitable society through support</w:t>
      </w:r>
      <w:r w:rsidR="00844FDA" w:rsidRPr="003778C4">
        <w:rPr>
          <w:rFonts w:cs="Times New Roman"/>
          <w:szCs w:val="24"/>
          <w:lang w:val="en-GB"/>
        </w:rPr>
        <w:t xml:space="preserve">ing the development of adult literacy (and numeracy) skills. </w:t>
      </w:r>
      <w:r w:rsidRPr="003778C4">
        <w:rPr>
          <w:rFonts w:cs="Times New Roman"/>
          <w:szCs w:val="24"/>
          <w:lang w:val="en-GB"/>
        </w:rPr>
        <w:t>This short piece, written from what we call an Activist perspective, starts from the fact that the PIAAC Background Questionnaire found that “General health and key markers of social cohesion are closely tied to adult literacy, as are more direct economic indicators, such as employment and earnings” (p</w:t>
      </w:r>
      <w:r w:rsidR="00A83491" w:rsidRPr="003778C4">
        <w:rPr>
          <w:rFonts w:cs="Times New Roman"/>
          <w:szCs w:val="24"/>
          <w:lang w:val="en-GB"/>
        </w:rPr>
        <w:t xml:space="preserve">. </w:t>
      </w:r>
      <w:r w:rsidRPr="003778C4">
        <w:rPr>
          <w:rFonts w:cs="Times New Roman"/>
          <w:szCs w:val="24"/>
          <w:lang w:val="en-GB"/>
        </w:rPr>
        <w:t>1).</w:t>
      </w:r>
    </w:p>
    <w:p w:rsidR="003C7B87" w:rsidRPr="003778C4" w:rsidRDefault="003C7B87" w:rsidP="00895047">
      <w:pPr>
        <w:pStyle w:val="ICMENormal"/>
        <w:spacing w:after="0" w:line="240" w:lineRule="auto"/>
        <w:rPr>
          <w:rFonts w:cs="Times New Roman"/>
          <w:szCs w:val="24"/>
          <w:lang w:val="en-GB"/>
        </w:rPr>
      </w:pPr>
      <w:r w:rsidRPr="003778C4">
        <w:rPr>
          <w:rFonts w:cs="Times New Roman"/>
          <w:szCs w:val="24"/>
          <w:lang w:val="en-GB"/>
        </w:rPr>
        <w:t xml:space="preserve">In terms of his position towards the OECD skills agenda, he appears to accept the proficiency measures as useful for demonstrating </w:t>
      </w:r>
      <w:r w:rsidR="00844FDA" w:rsidRPr="003778C4">
        <w:rPr>
          <w:rFonts w:cs="Times New Roman"/>
          <w:szCs w:val="24"/>
          <w:lang w:val="en-GB"/>
        </w:rPr>
        <w:t xml:space="preserve">worrying </w:t>
      </w:r>
      <w:r w:rsidRPr="003778C4">
        <w:rPr>
          <w:rFonts w:cs="Times New Roman"/>
          <w:szCs w:val="24"/>
          <w:lang w:val="en-GB"/>
        </w:rPr>
        <w:t>correlations of the kind mentioned above. However, he does appear to criticise the narrowness of the existing measures, when he asserts that “We must measure basic skills with more than just standardized test scores: we want to measure people’s use of text, numbers and diagrams – in printed and digital form – to gather, process, and communicate information in their important everyday contexts” (p</w:t>
      </w:r>
      <w:r w:rsidR="00A83491" w:rsidRPr="003778C4">
        <w:rPr>
          <w:rFonts w:cs="Times New Roman"/>
          <w:szCs w:val="24"/>
          <w:lang w:val="en-GB"/>
        </w:rPr>
        <w:t xml:space="preserve">. </w:t>
      </w:r>
      <w:r w:rsidRPr="003778C4">
        <w:rPr>
          <w:rFonts w:cs="Times New Roman"/>
          <w:szCs w:val="24"/>
          <w:lang w:val="en-GB"/>
        </w:rPr>
        <w:t>2).</w:t>
      </w:r>
    </w:p>
    <w:p w:rsidR="00844FDA" w:rsidRDefault="00844FDA" w:rsidP="00895047">
      <w:pPr>
        <w:pStyle w:val="ICMENormal"/>
        <w:spacing w:after="0" w:line="240" w:lineRule="auto"/>
        <w:rPr>
          <w:rFonts w:cs="Times New Roman"/>
          <w:szCs w:val="24"/>
          <w:lang w:val="en-GB"/>
        </w:rPr>
      </w:pPr>
      <w:r w:rsidRPr="003778C4">
        <w:rPr>
          <w:rFonts w:cs="Times New Roman"/>
          <w:szCs w:val="24"/>
          <w:lang w:val="en-GB"/>
        </w:rPr>
        <w:t>Thus Reder aims to influence po</w:t>
      </w:r>
      <w:r w:rsidR="00841F05" w:rsidRPr="003778C4">
        <w:rPr>
          <w:rFonts w:cs="Times New Roman"/>
          <w:szCs w:val="24"/>
          <w:lang w:val="en-GB"/>
        </w:rPr>
        <w:t>l</w:t>
      </w:r>
      <w:r w:rsidRPr="003778C4">
        <w:rPr>
          <w:rFonts w:cs="Times New Roman"/>
          <w:szCs w:val="24"/>
          <w:lang w:val="en-GB"/>
        </w:rPr>
        <w:t>icy</w:t>
      </w:r>
      <w:r w:rsidR="00970531" w:rsidRPr="003778C4">
        <w:rPr>
          <w:rFonts w:cs="Times New Roman"/>
          <w:szCs w:val="24"/>
          <w:lang w:val="en-GB"/>
        </w:rPr>
        <w:t>, particularly</w:t>
      </w:r>
      <w:r w:rsidRPr="003778C4">
        <w:rPr>
          <w:rFonts w:cs="Times New Roman"/>
          <w:szCs w:val="24"/>
          <w:lang w:val="en-GB"/>
        </w:rPr>
        <w:t xml:space="preserve"> at the national level</w:t>
      </w:r>
      <w:r w:rsidR="00970531" w:rsidRPr="003778C4">
        <w:rPr>
          <w:rFonts w:cs="Times New Roman"/>
          <w:szCs w:val="24"/>
          <w:lang w:val="en-GB"/>
        </w:rPr>
        <w:t xml:space="preserve"> </w:t>
      </w:r>
      <w:r w:rsidRPr="003778C4">
        <w:rPr>
          <w:rFonts w:cs="Times New Roman"/>
          <w:szCs w:val="24"/>
          <w:lang w:val="en-GB"/>
        </w:rPr>
        <w:t>in the USA, by arguing for “policies and programs that support lifelong and life-wide adult literacy in both workforce development and other important life contexts” (p</w:t>
      </w:r>
      <w:r w:rsidR="00A83491" w:rsidRPr="003778C4">
        <w:rPr>
          <w:rFonts w:cs="Times New Roman"/>
          <w:szCs w:val="24"/>
          <w:lang w:val="en-GB"/>
        </w:rPr>
        <w:t xml:space="preserve">. </w:t>
      </w:r>
      <w:r w:rsidRPr="003778C4">
        <w:rPr>
          <w:rFonts w:cs="Times New Roman"/>
          <w:szCs w:val="24"/>
          <w:lang w:val="en-GB"/>
        </w:rPr>
        <w:t>2).</w:t>
      </w:r>
    </w:p>
    <w:p w:rsidR="00895047" w:rsidRPr="003778C4" w:rsidRDefault="00895047" w:rsidP="00895047">
      <w:pPr>
        <w:pStyle w:val="ICMENormal"/>
        <w:spacing w:after="0" w:line="240" w:lineRule="auto"/>
        <w:rPr>
          <w:rFonts w:cs="Times New Roman"/>
          <w:szCs w:val="24"/>
          <w:lang w:val="en-GB"/>
        </w:rPr>
      </w:pPr>
    </w:p>
    <w:p w:rsidR="00CF5C7F" w:rsidRPr="003778C4" w:rsidRDefault="00CF5C7F" w:rsidP="00895047">
      <w:pPr>
        <w:pStyle w:val="ICMEHeading3"/>
        <w:spacing w:after="0" w:line="240" w:lineRule="auto"/>
        <w:rPr>
          <w:rFonts w:cs="Times New Roman"/>
          <w:szCs w:val="24"/>
          <w:lang w:val="en-GB"/>
        </w:rPr>
      </w:pPr>
      <w:r w:rsidRPr="003778C4">
        <w:rPr>
          <w:rFonts w:cs="Times New Roman"/>
          <w:szCs w:val="24"/>
          <w:lang w:val="en-GB"/>
        </w:rPr>
        <w:t>A (tentative) classification of policy actor roles</w:t>
      </w:r>
    </w:p>
    <w:p w:rsidR="007A7250" w:rsidRPr="003778C4" w:rsidRDefault="008203B6" w:rsidP="00895047">
      <w:pPr>
        <w:pStyle w:val="ICMENormal"/>
        <w:spacing w:after="0" w:line="240" w:lineRule="auto"/>
        <w:rPr>
          <w:rFonts w:cs="Times New Roman"/>
          <w:szCs w:val="24"/>
          <w:lang w:val="en-GB"/>
        </w:rPr>
      </w:pPr>
      <w:r w:rsidRPr="003778C4">
        <w:rPr>
          <w:rFonts w:cs="Times New Roman"/>
          <w:szCs w:val="24"/>
          <w:lang w:val="en-GB"/>
        </w:rPr>
        <w:t xml:space="preserve">As a result of the analyses above, we classified </w:t>
      </w:r>
      <w:r w:rsidR="00FE2D28" w:rsidRPr="003778C4">
        <w:rPr>
          <w:rFonts w:cs="Times New Roman"/>
          <w:szCs w:val="24"/>
          <w:lang w:val="en-GB"/>
        </w:rPr>
        <w:t xml:space="preserve">each of </w:t>
      </w:r>
      <w:r w:rsidRPr="003778C4">
        <w:rPr>
          <w:rFonts w:cs="Times New Roman"/>
          <w:szCs w:val="24"/>
          <w:lang w:val="en-GB"/>
        </w:rPr>
        <w:t xml:space="preserve">the six articles in terms of </w:t>
      </w:r>
      <w:r w:rsidR="00FE2D28" w:rsidRPr="003778C4">
        <w:rPr>
          <w:rFonts w:cs="Times New Roman"/>
          <w:szCs w:val="24"/>
          <w:lang w:val="en-GB"/>
        </w:rPr>
        <w:t>its main apparent role</w:t>
      </w:r>
      <w:r w:rsidRPr="003778C4">
        <w:rPr>
          <w:rFonts w:cs="Times New Roman"/>
          <w:szCs w:val="24"/>
          <w:lang w:val="en-GB"/>
        </w:rPr>
        <w:t xml:space="preserve"> as in Table 1. </w:t>
      </w:r>
      <w:r w:rsidR="00FE2D28" w:rsidRPr="003778C4">
        <w:rPr>
          <w:rFonts w:cs="Times New Roman"/>
          <w:szCs w:val="24"/>
          <w:lang w:val="en-GB"/>
        </w:rPr>
        <w:t xml:space="preserve">This was </w:t>
      </w:r>
      <w:r w:rsidR="007A7250" w:rsidRPr="003778C4">
        <w:rPr>
          <w:rFonts w:cs="Times New Roman"/>
          <w:szCs w:val="24"/>
          <w:lang w:val="en-GB"/>
        </w:rPr>
        <w:t>for the purpose of illustrating our developing typology of policy-oriented roles</w:t>
      </w:r>
      <w:r w:rsidR="00FE2D28" w:rsidRPr="003778C4">
        <w:rPr>
          <w:rFonts w:cs="Times New Roman"/>
          <w:szCs w:val="24"/>
          <w:lang w:val="en-GB"/>
        </w:rPr>
        <w:t>.</w:t>
      </w:r>
      <w:r w:rsidR="007A7250" w:rsidRPr="003778C4">
        <w:rPr>
          <w:rFonts w:cs="Times New Roman"/>
          <w:szCs w:val="24"/>
          <w:lang w:val="en-GB"/>
        </w:rPr>
        <w:t xml:space="preserve"> </w:t>
      </w:r>
      <w:r w:rsidR="00FE2D28" w:rsidRPr="003778C4">
        <w:rPr>
          <w:rFonts w:cs="Times New Roman"/>
          <w:szCs w:val="24"/>
          <w:lang w:val="en-GB"/>
        </w:rPr>
        <w:t>N</w:t>
      </w:r>
      <w:r w:rsidR="007A7250" w:rsidRPr="003778C4">
        <w:rPr>
          <w:rFonts w:cs="Times New Roman"/>
          <w:szCs w:val="24"/>
          <w:lang w:val="en-GB"/>
        </w:rPr>
        <w:t>o attempt is made here to evaluate the claims made in the</w:t>
      </w:r>
      <w:r w:rsidR="00FE2D28" w:rsidRPr="003778C4">
        <w:rPr>
          <w:rFonts w:cs="Times New Roman"/>
          <w:szCs w:val="24"/>
          <w:lang w:val="en-GB"/>
        </w:rPr>
        <w:t xml:space="preserve"> articles.</w:t>
      </w:r>
    </w:p>
    <w:p w:rsidR="003778C4" w:rsidRDefault="003778C4" w:rsidP="00895047">
      <w:pPr>
        <w:spacing w:after="0" w:line="240" w:lineRule="auto"/>
        <w:jc w:val="left"/>
        <w:rPr>
          <w:rFonts w:cs="Times New Roman"/>
          <w:b/>
          <w:bCs/>
          <w:caps/>
          <w:kern w:val="28"/>
          <w:sz w:val="24"/>
          <w:szCs w:val="24"/>
          <w:lang w:val="en-GB"/>
        </w:rPr>
      </w:pPr>
      <w:r>
        <w:rPr>
          <w:rFonts w:cs="Times New Roman"/>
          <w:szCs w:val="24"/>
          <w:lang w:val="en-GB"/>
        </w:rPr>
        <w:br w:type="page"/>
      </w:r>
    </w:p>
    <w:p w:rsidR="007A7250" w:rsidRPr="003778C4" w:rsidRDefault="007A7250" w:rsidP="00895047">
      <w:pPr>
        <w:pStyle w:val="ICMEHeading2"/>
        <w:spacing w:before="0" w:after="0" w:line="240" w:lineRule="auto"/>
        <w:rPr>
          <w:rFonts w:cs="Times New Roman"/>
          <w:szCs w:val="24"/>
          <w:lang w:val="en-GB"/>
        </w:rPr>
      </w:pPr>
    </w:p>
    <w:tbl>
      <w:tblPr>
        <w:tblStyle w:val="TableGrid"/>
        <w:tblW w:w="0" w:type="auto"/>
        <w:tblLook w:val="04A0"/>
      </w:tblPr>
      <w:tblGrid>
        <w:gridCol w:w="6201"/>
        <w:gridCol w:w="3042"/>
      </w:tblGrid>
      <w:tr w:rsidR="007A7250" w:rsidRPr="003778C4" w:rsidTr="008203B6">
        <w:trPr>
          <w:tblHeader/>
        </w:trPr>
        <w:tc>
          <w:tcPr>
            <w:tcW w:w="0" w:type="auto"/>
            <w:tcBorders>
              <w:left w:val="nil"/>
              <w:bottom w:val="single" w:sz="4" w:space="0" w:color="auto"/>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Policy actor role illustrated</w:t>
            </w:r>
          </w:p>
        </w:tc>
        <w:tc>
          <w:tcPr>
            <w:tcW w:w="0" w:type="auto"/>
            <w:tcBorders>
              <w:bottom w:val="single" w:sz="4" w:space="0" w:color="auto"/>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Publication</w:t>
            </w:r>
          </w:p>
        </w:tc>
      </w:tr>
      <w:tr w:rsidR="007A7250" w:rsidRPr="003778C4" w:rsidTr="008203B6">
        <w:tc>
          <w:tcPr>
            <w:tcW w:w="0" w:type="auto"/>
            <w:tcBorders>
              <w:left w:val="nil"/>
              <w:bottom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1A. Narrator of the field, and its prevalent claims, its extent and its boundaries</w:t>
            </w:r>
          </w:p>
        </w:tc>
        <w:tc>
          <w:tcPr>
            <w:tcW w:w="0" w:type="auto"/>
            <w:tcBorders>
              <w:left w:val="nil"/>
              <w:bottom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Tout &amp; Gal (2015)</w:t>
            </w:r>
          </w:p>
        </w:tc>
      </w:tr>
      <w:tr w:rsidR="007A7250" w:rsidRPr="003778C4" w:rsidTr="008203B6">
        <w:tc>
          <w:tcPr>
            <w:tcW w:w="0" w:type="auto"/>
            <w:tcBorders>
              <w:top w:val="nil"/>
              <w:left w:val="nil"/>
              <w:bottom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1B. Critic of the field and its claims, exponent of extending boundaries, etc.</w:t>
            </w:r>
          </w:p>
        </w:tc>
        <w:tc>
          <w:tcPr>
            <w:tcW w:w="0" w:type="auto"/>
            <w:tcBorders>
              <w:top w:val="nil"/>
              <w:left w:val="nil"/>
              <w:bottom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Jablonka (2015)</w:t>
            </w:r>
          </w:p>
        </w:tc>
      </w:tr>
      <w:tr w:rsidR="007A7250" w:rsidRPr="003778C4" w:rsidTr="008203B6">
        <w:tc>
          <w:tcPr>
            <w:tcW w:w="0" w:type="auto"/>
            <w:tcBorders>
              <w:top w:val="nil"/>
              <w:left w:val="nil"/>
              <w:bottom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 xml:space="preserve">2. Producer of accounts from those engaged in activities in context </w:t>
            </w:r>
          </w:p>
        </w:tc>
        <w:tc>
          <w:tcPr>
            <w:tcW w:w="0" w:type="auto"/>
            <w:tcBorders>
              <w:top w:val="nil"/>
              <w:left w:val="nil"/>
              <w:bottom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Straesser (2015)</w:t>
            </w:r>
          </w:p>
        </w:tc>
      </w:tr>
      <w:tr w:rsidR="007A7250" w:rsidRPr="003778C4" w:rsidTr="008203B6">
        <w:tc>
          <w:tcPr>
            <w:tcW w:w="0" w:type="auto"/>
            <w:tcBorders>
              <w:top w:val="nil"/>
              <w:left w:val="nil"/>
              <w:bottom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 xml:space="preserve">3. Advocate for social or educational change, in terms of policy and/or practice </w:t>
            </w:r>
          </w:p>
        </w:tc>
        <w:tc>
          <w:tcPr>
            <w:tcW w:w="0" w:type="auto"/>
            <w:tcBorders>
              <w:top w:val="nil"/>
              <w:left w:val="nil"/>
              <w:bottom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Carpentieri (2015), St. Clair (2014)</w:t>
            </w:r>
          </w:p>
        </w:tc>
      </w:tr>
      <w:tr w:rsidR="007A7250" w:rsidRPr="003778C4" w:rsidTr="008203B6">
        <w:tc>
          <w:tcPr>
            <w:tcW w:w="0" w:type="auto"/>
            <w:tcBorders>
              <w:top w:val="nil"/>
              <w:left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 xml:space="preserve">4. Activist working alongside those engaged in trying to bring about changes. </w:t>
            </w:r>
          </w:p>
        </w:tc>
        <w:tc>
          <w:tcPr>
            <w:tcW w:w="0" w:type="auto"/>
            <w:tcBorders>
              <w:top w:val="nil"/>
              <w:left w:val="nil"/>
              <w:right w:val="nil"/>
            </w:tcBorders>
          </w:tcPr>
          <w:p w:rsidR="007A7250" w:rsidRPr="003778C4" w:rsidRDefault="007A7250" w:rsidP="00895047">
            <w:pPr>
              <w:pStyle w:val="ICMENormal"/>
              <w:spacing w:after="0" w:line="240" w:lineRule="auto"/>
              <w:rPr>
                <w:rFonts w:cs="Times New Roman"/>
                <w:szCs w:val="24"/>
                <w:lang w:val="en-GB"/>
              </w:rPr>
            </w:pPr>
            <w:r w:rsidRPr="003778C4">
              <w:rPr>
                <w:rFonts w:cs="Times New Roman"/>
                <w:szCs w:val="24"/>
                <w:lang w:val="en-GB"/>
              </w:rPr>
              <w:t>Reder (2015)</w:t>
            </w:r>
          </w:p>
        </w:tc>
      </w:tr>
    </w:tbl>
    <w:p w:rsidR="007A7250" w:rsidRPr="003778C4" w:rsidRDefault="007A7250" w:rsidP="00895047">
      <w:pPr>
        <w:pStyle w:val="ICMEFigTitle"/>
        <w:spacing w:before="0" w:after="0" w:line="240" w:lineRule="auto"/>
        <w:rPr>
          <w:rFonts w:cs="Times New Roman"/>
          <w:szCs w:val="24"/>
          <w:lang w:val="en-GB"/>
        </w:rPr>
      </w:pPr>
      <w:r w:rsidRPr="003778C4">
        <w:rPr>
          <w:rFonts w:cs="Times New Roman"/>
          <w:szCs w:val="24"/>
          <w:lang w:val="en-GB"/>
        </w:rPr>
        <w:t>Table 1: Policy actor roles and research illustrating the roles</w:t>
      </w:r>
    </w:p>
    <w:p w:rsidR="007A7250" w:rsidRPr="003778C4" w:rsidRDefault="007A7250" w:rsidP="00895047">
      <w:pPr>
        <w:pStyle w:val="ICMENormal"/>
        <w:spacing w:after="0" w:line="240" w:lineRule="auto"/>
        <w:rPr>
          <w:rFonts w:cs="Times New Roman"/>
          <w:szCs w:val="24"/>
          <w:lang w:val="en-GB"/>
        </w:rPr>
      </w:pPr>
    </w:p>
    <w:p w:rsidR="001F63CF" w:rsidRPr="003778C4" w:rsidRDefault="008739A8" w:rsidP="00895047">
      <w:pPr>
        <w:pStyle w:val="ICMEHeading2"/>
        <w:spacing w:before="0" w:after="0" w:line="240" w:lineRule="auto"/>
        <w:rPr>
          <w:rFonts w:cs="Times New Roman"/>
          <w:szCs w:val="24"/>
          <w:lang w:val="en-GB"/>
        </w:rPr>
      </w:pPr>
      <w:r w:rsidRPr="003778C4">
        <w:rPr>
          <w:rFonts w:cs="Times New Roman"/>
          <w:szCs w:val="24"/>
          <w:lang w:val="en-GB"/>
        </w:rPr>
        <w:t>Discussion and Conclusion</w:t>
      </w:r>
    </w:p>
    <w:p w:rsidR="00895047" w:rsidRDefault="00895047" w:rsidP="00895047">
      <w:pPr>
        <w:pStyle w:val="ICMENormal"/>
        <w:spacing w:after="0" w:line="240" w:lineRule="auto"/>
        <w:rPr>
          <w:rFonts w:cs="Times New Roman"/>
          <w:szCs w:val="24"/>
          <w:lang w:val="en-GB"/>
        </w:rPr>
      </w:pPr>
    </w:p>
    <w:p w:rsidR="00160012" w:rsidRPr="003778C4" w:rsidRDefault="00160012" w:rsidP="00895047">
      <w:pPr>
        <w:pStyle w:val="ICMENormal"/>
        <w:spacing w:after="0" w:line="240" w:lineRule="auto"/>
        <w:rPr>
          <w:rFonts w:cs="Times New Roman"/>
          <w:szCs w:val="24"/>
          <w:lang w:val="en-GB"/>
        </w:rPr>
      </w:pPr>
      <w:r w:rsidRPr="003778C4">
        <w:rPr>
          <w:rFonts w:cs="Times New Roman"/>
          <w:szCs w:val="24"/>
          <w:lang w:val="en-GB"/>
        </w:rPr>
        <w:t xml:space="preserve">In this sample of academic </w:t>
      </w:r>
      <w:r w:rsidR="00AE2F08" w:rsidRPr="003778C4">
        <w:rPr>
          <w:rFonts w:cs="Times New Roman"/>
          <w:szCs w:val="24"/>
          <w:lang w:val="en-GB"/>
        </w:rPr>
        <w:t xml:space="preserve">publications, we </w:t>
      </w:r>
      <w:r w:rsidRPr="003778C4">
        <w:rPr>
          <w:rFonts w:cs="Times New Roman"/>
          <w:szCs w:val="24"/>
          <w:lang w:val="en-GB"/>
        </w:rPr>
        <w:t>are able to show examples of the different research roles vis-a-vis policy issues, concerning adult literacy and numeracy. In their various statements, the authors appear to give voice to a range of policy interests, not only those of the PIAAC agenda</w:t>
      </w:r>
      <w:r w:rsidR="00C25CCC" w:rsidRPr="003778C4">
        <w:rPr>
          <w:rFonts w:cs="Times New Roman"/>
          <w:szCs w:val="24"/>
          <w:lang w:val="en-GB"/>
        </w:rPr>
        <w:t>.</w:t>
      </w:r>
    </w:p>
    <w:p w:rsidR="00895047" w:rsidRDefault="00895047" w:rsidP="00895047">
      <w:pPr>
        <w:pStyle w:val="ICMENormal"/>
        <w:spacing w:after="0" w:line="240" w:lineRule="auto"/>
        <w:rPr>
          <w:rFonts w:cs="Times New Roman"/>
          <w:szCs w:val="24"/>
          <w:lang w:val="en-GB"/>
        </w:rPr>
      </w:pPr>
    </w:p>
    <w:p w:rsidR="00C11083" w:rsidRPr="003778C4" w:rsidRDefault="00C25CCC" w:rsidP="00895047">
      <w:pPr>
        <w:pStyle w:val="ICMENormal"/>
        <w:spacing w:after="0" w:line="240" w:lineRule="auto"/>
        <w:rPr>
          <w:rFonts w:cs="Times New Roman"/>
          <w:szCs w:val="24"/>
          <w:lang w:val="en-GB"/>
        </w:rPr>
      </w:pPr>
      <w:r w:rsidRPr="003778C4">
        <w:rPr>
          <w:rFonts w:cs="Times New Roman"/>
          <w:szCs w:val="24"/>
          <w:lang w:val="en-GB"/>
        </w:rPr>
        <w:t>However, there are two limitations to our analysis presented here, beside</w:t>
      </w:r>
      <w:r w:rsidR="00D23A01" w:rsidRPr="003778C4">
        <w:rPr>
          <w:rFonts w:cs="Times New Roman"/>
          <w:szCs w:val="24"/>
          <w:lang w:val="en-GB"/>
        </w:rPr>
        <w:t>s</w:t>
      </w:r>
      <w:r w:rsidRPr="003778C4">
        <w:rPr>
          <w:rFonts w:cs="Times New Roman"/>
          <w:szCs w:val="24"/>
          <w:lang w:val="en-GB"/>
        </w:rPr>
        <w:t xml:space="preserve"> the small size of the sample. First, we began by assuming that each paper illustrated only one role. However, we have found that many of the papers combine two or more roles. For example as well as the role we </w:t>
      </w:r>
      <w:r w:rsidR="00A528AF" w:rsidRPr="003778C4">
        <w:rPr>
          <w:rFonts w:cs="Times New Roman"/>
          <w:szCs w:val="24"/>
          <w:lang w:val="en-GB"/>
        </w:rPr>
        <w:t xml:space="preserve">initially </w:t>
      </w:r>
      <w:r w:rsidRPr="003778C4">
        <w:rPr>
          <w:rFonts w:cs="Times New Roman"/>
          <w:szCs w:val="24"/>
          <w:lang w:val="en-GB"/>
        </w:rPr>
        <w:t xml:space="preserve">attributed to them, Tout </w:t>
      </w:r>
      <w:r w:rsidR="00805FB7" w:rsidRPr="003778C4">
        <w:rPr>
          <w:rFonts w:cs="Times New Roman"/>
          <w:szCs w:val="24"/>
          <w:lang w:val="en-GB"/>
        </w:rPr>
        <w:t xml:space="preserve">and </w:t>
      </w:r>
      <w:r w:rsidRPr="003778C4">
        <w:rPr>
          <w:rFonts w:cs="Times New Roman"/>
          <w:szCs w:val="24"/>
          <w:lang w:val="en-GB"/>
        </w:rPr>
        <w:t xml:space="preserve">Gal </w:t>
      </w:r>
      <w:r w:rsidRPr="003778C4">
        <w:rPr>
          <w:rFonts w:cs="Times New Roman"/>
          <w:i/>
          <w:szCs w:val="24"/>
          <w:lang w:val="en-GB"/>
        </w:rPr>
        <w:t>advocate</w:t>
      </w:r>
      <w:r w:rsidRPr="003778C4">
        <w:rPr>
          <w:rFonts w:cs="Times New Roman"/>
          <w:szCs w:val="24"/>
          <w:lang w:val="en-GB"/>
        </w:rPr>
        <w:t xml:space="preserve"> a number of curricular and pedagogic changes</w:t>
      </w:r>
      <w:r w:rsidR="00007187" w:rsidRPr="003778C4">
        <w:rPr>
          <w:rFonts w:cs="Times New Roman"/>
          <w:szCs w:val="24"/>
          <w:lang w:val="en-GB"/>
        </w:rPr>
        <w:t>,</w:t>
      </w:r>
      <w:r w:rsidRPr="003778C4">
        <w:rPr>
          <w:rFonts w:cs="Times New Roman"/>
          <w:szCs w:val="24"/>
          <w:lang w:val="en-GB"/>
        </w:rPr>
        <w:t xml:space="preserve"> </w:t>
      </w:r>
      <w:r w:rsidR="00283084" w:rsidRPr="003778C4">
        <w:rPr>
          <w:rFonts w:cs="Times New Roman"/>
          <w:szCs w:val="24"/>
          <w:lang w:val="en-GB"/>
        </w:rPr>
        <w:t xml:space="preserve">for adults’ and for school mathematics, </w:t>
      </w:r>
      <w:r w:rsidRPr="003778C4">
        <w:rPr>
          <w:rFonts w:cs="Times New Roman"/>
          <w:szCs w:val="24"/>
          <w:lang w:val="en-GB"/>
        </w:rPr>
        <w:t xml:space="preserve">and Straesser </w:t>
      </w:r>
      <w:r w:rsidRPr="003778C4">
        <w:rPr>
          <w:rFonts w:cs="Times New Roman"/>
          <w:i/>
          <w:szCs w:val="24"/>
          <w:lang w:val="en-GB"/>
        </w:rPr>
        <w:t>advocates</w:t>
      </w:r>
      <w:r w:rsidRPr="003778C4">
        <w:rPr>
          <w:rFonts w:cs="Times New Roman"/>
          <w:szCs w:val="24"/>
          <w:lang w:val="en-GB"/>
        </w:rPr>
        <w:t xml:space="preserve"> a greater disaggregation of PIAAC Numeracy results, so as to make visible those relating to workplace contexts. Second, we have considered only one publication from each researcher /</w:t>
      </w:r>
      <w:r w:rsidR="006E638E" w:rsidRPr="003778C4">
        <w:rPr>
          <w:rFonts w:cs="Times New Roman"/>
          <w:szCs w:val="24"/>
          <w:lang w:val="en-GB"/>
        </w:rPr>
        <w:t xml:space="preserve"> </w:t>
      </w:r>
      <w:r w:rsidRPr="003778C4">
        <w:rPr>
          <w:rFonts w:cs="Times New Roman"/>
          <w:szCs w:val="24"/>
          <w:lang w:val="en-GB"/>
        </w:rPr>
        <w:t xml:space="preserve">team, without considering the other outputs from their work. Thus, for example, </w:t>
      </w:r>
      <w:r w:rsidR="009A6DB2" w:rsidRPr="003778C4">
        <w:rPr>
          <w:rFonts w:cs="Times New Roman"/>
          <w:szCs w:val="24"/>
          <w:lang w:val="en-GB"/>
        </w:rPr>
        <w:t xml:space="preserve">our characterization here of </w:t>
      </w:r>
      <w:proofErr w:type="spellStart"/>
      <w:r w:rsidRPr="003778C4">
        <w:rPr>
          <w:rFonts w:cs="Times New Roman"/>
          <w:szCs w:val="24"/>
          <w:lang w:val="en-GB"/>
        </w:rPr>
        <w:t>Reder’s</w:t>
      </w:r>
      <w:proofErr w:type="spellEnd"/>
      <w:r w:rsidRPr="003778C4">
        <w:rPr>
          <w:rFonts w:cs="Times New Roman"/>
          <w:szCs w:val="24"/>
          <w:lang w:val="en-GB"/>
        </w:rPr>
        <w:t xml:space="preserve"> </w:t>
      </w:r>
      <w:r w:rsidR="009A6DB2" w:rsidRPr="003778C4">
        <w:rPr>
          <w:rFonts w:cs="Times New Roman"/>
          <w:szCs w:val="24"/>
          <w:lang w:val="en-GB"/>
        </w:rPr>
        <w:t xml:space="preserve">article </w:t>
      </w:r>
      <w:r w:rsidRPr="003778C4">
        <w:rPr>
          <w:rFonts w:cs="Times New Roman"/>
          <w:szCs w:val="24"/>
          <w:lang w:val="en-GB"/>
        </w:rPr>
        <w:t xml:space="preserve">as </w:t>
      </w:r>
      <w:r w:rsidRPr="003778C4">
        <w:rPr>
          <w:rFonts w:cs="Times New Roman"/>
          <w:i/>
          <w:szCs w:val="24"/>
          <w:lang w:val="en-GB"/>
        </w:rPr>
        <w:t>activist</w:t>
      </w:r>
      <w:r w:rsidRPr="003778C4">
        <w:rPr>
          <w:rFonts w:cs="Times New Roman"/>
          <w:szCs w:val="24"/>
          <w:lang w:val="en-GB"/>
        </w:rPr>
        <w:t xml:space="preserve"> ignores his contributions</w:t>
      </w:r>
      <w:r w:rsidR="009A6DB2" w:rsidRPr="003778C4">
        <w:rPr>
          <w:rFonts w:cs="Times New Roman"/>
          <w:szCs w:val="24"/>
          <w:lang w:val="en-GB"/>
        </w:rPr>
        <w:t xml:space="preserve"> elsewhere</w:t>
      </w:r>
      <w:r w:rsidRPr="003778C4">
        <w:rPr>
          <w:rFonts w:cs="Times New Roman"/>
          <w:szCs w:val="24"/>
          <w:lang w:val="en-GB"/>
        </w:rPr>
        <w:t xml:space="preserve">, </w:t>
      </w:r>
      <w:r w:rsidR="003C3132" w:rsidRPr="003778C4">
        <w:rPr>
          <w:rFonts w:cs="Times New Roman"/>
          <w:szCs w:val="24"/>
          <w:lang w:val="en-GB"/>
        </w:rPr>
        <w:t xml:space="preserve">made </w:t>
      </w:r>
      <w:r w:rsidR="00970531" w:rsidRPr="003778C4">
        <w:rPr>
          <w:rFonts w:cs="Times New Roman"/>
          <w:szCs w:val="24"/>
          <w:lang w:val="en-GB"/>
        </w:rPr>
        <w:t xml:space="preserve">for example </w:t>
      </w:r>
      <w:r w:rsidRPr="003778C4">
        <w:rPr>
          <w:rFonts w:cs="Times New Roman"/>
          <w:szCs w:val="24"/>
          <w:lang w:val="en-GB"/>
        </w:rPr>
        <w:t>through executi</w:t>
      </w:r>
      <w:r w:rsidR="00AA49B2" w:rsidRPr="003778C4">
        <w:rPr>
          <w:rFonts w:cs="Times New Roman"/>
          <w:szCs w:val="24"/>
          <w:lang w:val="en-GB"/>
        </w:rPr>
        <w:t>ng</w:t>
      </w:r>
      <w:r w:rsidRPr="003778C4">
        <w:rPr>
          <w:rFonts w:cs="Times New Roman"/>
          <w:szCs w:val="24"/>
          <w:lang w:val="en-GB"/>
        </w:rPr>
        <w:t xml:space="preserve"> a local longitudinal study</w:t>
      </w:r>
      <w:r w:rsidR="00AA49B2" w:rsidRPr="003778C4">
        <w:rPr>
          <w:rFonts w:cs="Times New Roman"/>
          <w:szCs w:val="24"/>
          <w:lang w:val="en-GB"/>
        </w:rPr>
        <w:t xml:space="preserve"> of adult literacy (LSAL)</w:t>
      </w:r>
      <w:r w:rsidRPr="003778C4">
        <w:rPr>
          <w:rFonts w:cs="Times New Roman"/>
          <w:szCs w:val="24"/>
          <w:lang w:val="en-GB"/>
        </w:rPr>
        <w:t xml:space="preserve">, of a kind judged as crucial for robustly inferring causal links between measured literacy and numeracy and valued social goods </w:t>
      </w:r>
      <w:r w:rsidR="001B2BBC" w:rsidRPr="003778C4">
        <w:rPr>
          <w:rFonts w:cs="Times New Roman"/>
          <w:szCs w:val="24"/>
          <w:lang w:val="en-GB"/>
        </w:rPr>
        <w:t>(</w:t>
      </w:r>
      <w:r w:rsidR="00AA49B2" w:rsidRPr="003778C4">
        <w:rPr>
          <w:rFonts w:cs="Times New Roman"/>
          <w:szCs w:val="24"/>
          <w:lang w:val="en-GB"/>
        </w:rPr>
        <w:t xml:space="preserve">see </w:t>
      </w:r>
      <w:r w:rsidR="001B2BBC" w:rsidRPr="003778C4">
        <w:rPr>
          <w:rFonts w:cs="Times New Roman"/>
          <w:szCs w:val="24"/>
          <w:lang w:val="en-GB"/>
        </w:rPr>
        <w:t xml:space="preserve">e.g. </w:t>
      </w:r>
      <w:proofErr w:type="spellStart"/>
      <w:r w:rsidR="001B2BBC" w:rsidRPr="003778C4">
        <w:rPr>
          <w:rFonts w:cs="Times New Roman"/>
          <w:szCs w:val="24"/>
          <w:lang w:val="en-GB"/>
        </w:rPr>
        <w:t>Reder</w:t>
      </w:r>
      <w:proofErr w:type="spellEnd"/>
      <w:r w:rsidR="001B2BBC" w:rsidRPr="003778C4">
        <w:rPr>
          <w:rFonts w:cs="Times New Roman"/>
          <w:szCs w:val="24"/>
          <w:lang w:val="en-GB"/>
        </w:rPr>
        <w:t xml:space="preserve"> &amp; </w:t>
      </w:r>
      <w:proofErr w:type="spellStart"/>
      <w:r w:rsidR="001B2BBC" w:rsidRPr="003778C4">
        <w:rPr>
          <w:rFonts w:cs="Times New Roman"/>
          <w:szCs w:val="24"/>
          <w:lang w:val="en-GB"/>
        </w:rPr>
        <w:t>Bynner</w:t>
      </w:r>
      <w:proofErr w:type="spellEnd"/>
      <w:r w:rsidR="001B2BBC" w:rsidRPr="003778C4">
        <w:rPr>
          <w:rFonts w:cs="Times New Roman"/>
          <w:szCs w:val="24"/>
          <w:lang w:val="en-GB"/>
        </w:rPr>
        <w:t>, 2009).</w:t>
      </w:r>
      <w:r w:rsidR="00D23A01" w:rsidRPr="003778C4">
        <w:rPr>
          <w:rFonts w:cs="Times New Roman"/>
          <w:szCs w:val="24"/>
          <w:lang w:val="en-GB"/>
        </w:rPr>
        <w:t xml:space="preserve"> </w:t>
      </w:r>
      <w:r w:rsidR="00283084" w:rsidRPr="003778C4">
        <w:rPr>
          <w:rFonts w:cs="Times New Roman"/>
          <w:szCs w:val="24"/>
          <w:lang w:val="en-GB"/>
        </w:rPr>
        <w:t xml:space="preserve">Thus the typology we are aiming to develop here is of </w:t>
      </w:r>
      <w:r w:rsidR="00283084" w:rsidRPr="003778C4">
        <w:rPr>
          <w:rFonts w:cs="Times New Roman"/>
          <w:bCs/>
          <w:i/>
          <w:szCs w:val="24"/>
          <w:lang w:val="en-GB"/>
        </w:rPr>
        <w:t>roles</w:t>
      </w:r>
      <w:r w:rsidR="00283084" w:rsidRPr="003778C4">
        <w:rPr>
          <w:rFonts w:cs="Times New Roman"/>
          <w:szCs w:val="24"/>
          <w:lang w:val="en-GB"/>
        </w:rPr>
        <w:t xml:space="preserve"> vis-à-vis policy issues – and not of particular articles, and </w:t>
      </w:r>
      <w:r w:rsidR="001772FF" w:rsidRPr="003778C4">
        <w:rPr>
          <w:rFonts w:cs="Times New Roman"/>
          <w:szCs w:val="24"/>
          <w:lang w:val="en-GB"/>
        </w:rPr>
        <w:t xml:space="preserve">not at all </w:t>
      </w:r>
      <w:r w:rsidR="00283084" w:rsidRPr="003778C4">
        <w:rPr>
          <w:rFonts w:cs="Times New Roman"/>
          <w:szCs w:val="24"/>
          <w:lang w:val="en-GB"/>
        </w:rPr>
        <w:t xml:space="preserve">of </w:t>
      </w:r>
      <w:r w:rsidR="001772FF" w:rsidRPr="003778C4">
        <w:rPr>
          <w:rFonts w:cs="Times New Roman"/>
          <w:szCs w:val="24"/>
          <w:lang w:val="en-GB"/>
        </w:rPr>
        <w:t xml:space="preserve">the </w:t>
      </w:r>
      <w:r w:rsidR="00283084" w:rsidRPr="003778C4">
        <w:rPr>
          <w:rFonts w:cs="Times New Roman"/>
          <w:szCs w:val="24"/>
          <w:lang w:val="en-GB"/>
        </w:rPr>
        <w:t>researchers themselves</w:t>
      </w:r>
      <w:r w:rsidR="001772FF" w:rsidRPr="003778C4">
        <w:rPr>
          <w:rFonts w:cs="Times New Roman"/>
          <w:szCs w:val="24"/>
          <w:lang w:val="en-GB"/>
        </w:rPr>
        <w:t>.</w:t>
      </w:r>
      <w:r w:rsidR="00D23A01" w:rsidRPr="003778C4">
        <w:rPr>
          <w:rFonts w:cs="Times New Roman"/>
          <w:szCs w:val="24"/>
          <w:lang w:val="en-GB"/>
        </w:rPr>
        <w:t xml:space="preserve"> </w:t>
      </w:r>
    </w:p>
    <w:p w:rsidR="00895047" w:rsidRDefault="00895047" w:rsidP="00895047">
      <w:pPr>
        <w:pStyle w:val="ICMENormal"/>
        <w:spacing w:after="0" w:line="240" w:lineRule="auto"/>
        <w:rPr>
          <w:rFonts w:cs="Times New Roman"/>
          <w:szCs w:val="24"/>
          <w:lang w:val="en-GB"/>
        </w:rPr>
      </w:pPr>
    </w:p>
    <w:p w:rsidR="00C11083" w:rsidRPr="003778C4" w:rsidRDefault="00E66BAA" w:rsidP="00895047">
      <w:pPr>
        <w:pStyle w:val="ICMENormal"/>
        <w:spacing w:after="0" w:line="240" w:lineRule="auto"/>
        <w:rPr>
          <w:rFonts w:cs="Times New Roman"/>
          <w:szCs w:val="24"/>
          <w:lang w:val="en-GB"/>
        </w:rPr>
      </w:pPr>
      <w:r w:rsidRPr="003778C4">
        <w:rPr>
          <w:rFonts w:cs="Times New Roman"/>
          <w:szCs w:val="24"/>
          <w:lang w:val="en-GB"/>
        </w:rPr>
        <w:t>Indeed,</w:t>
      </w:r>
      <w:r w:rsidR="00D23A01" w:rsidRPr="003778C4">
        <w:rPr>
          <w:rFonts w:cs="Times New Roman"/>
          <w:szCs w:val="24"/>
          <w:lang w:val="en-GB"/>
        </w:rPr>
        <w:t xml:space="preserve"> the additional roles noted for particular articles / researchers</w:t>
      </w:r>
      <w:r w:rsidR="00C11083" w:rsidRPr="003778C4">
        <w:rPr>
          <w:rFonts w:cs="Times New Roman"/>
          <w:szCs w:val="24"/>
          <w:lang w:val="en-GB"/>
        </w:rPr>
        <w:t>’ positions</w:t>
      </w:r>
      <w:r w:rsidR="00D23A01" w:rsidRPr="003778C4">
        <w:rPr>
          <w:rFonts w:cs="Times New Roman"/>
          <w:szCs w:val="24"/>
          <w:lang w:val="en-GB"/>
        </w:rPr>
        <w:t xml:space="preserve"> in the previous paragraph suggest</w:t>
      </w:r>
      <w:r w:rsidRPr="003778C4">
        <w:rPr>
          <w:rFonts w:cs="Times New Roman"/>
          <w:szCs w:val="24"/>
          <w:lang w:val="en-GB"/>
        </w:rPr>
        <w:t>s asking whether it is worth conceiving of further roles</w:t>
      </w:r>
      <w:r w:rsidR="00FE2D28" w:rsidRPr="003778C4">
        <w:rPr>
          <w:rFonts w:cs="Times New Roman"/>
          <w:szCs w:val="24"/>
          <w:lang w:val="en-GB"/>
        </w:rPr>
        <w:t>, or indeed rethinking those roles already sug</w:t>
      </w:r>
      <w:r w:rsidR="00681165" w:rsidRPr="003778C4">
        <w:rPr>
          <w:rFonts w:cs="Times New Roman"/>
          <w:szCs w:val="24"/>
          <w:lang w:val="en-GB"/>
        </w:rPr>
        <w:t>g</w:t>
      </w:r>
      <w:r w:rsidR="00FE2D28" w:rsidRPr="003778C4">
        <w:rPr>
          <w:rFonts w:cs="Times New Roman"/>
          <w:szCs w:val="24"/>
          <w:lang w:val="en-GB"/>
        </w:rPr>
        <w:t>ested</w:t>
      </w:r>
      <w:r w:rsidRPr="003778C4">
        <w:rPr>
          <w:rFonts w:cs="Times New Roman"/>
          <w:szCs w:val="24"/>
          <w:lang w:val="en-GB"/>
        </w:rPr>
        <w:t>. For example, the role of ‘Entrepreneur’</w:t>
      </w:r>
      <w:r w:rsidR="00102952" w:rsidRPr="003778C4">
        <w:rPr>
          <w:rFonts w:cs="Times New Roman"/>
          <w:szCs w:val="24"/>
          <w:lang w:val="en-GB"/>
        </w:rPr>
        <w:t>,</w:t>
      </w:r>
      <w:r w:rsidRPr="003778C4">
        <w:rPr>
          <w:rFonts w:cs="Times New Roman"/>
          <w:szCs w:val="24"/>
          <w:lang w:val="en-GB"/>
        </w:rPr>
        <w:t xml:space="preserve"> outlined by Ball et al. (2011) as </w:t>
      </w:r>
      <w:r w:rsidR="00102952" w:rsidRPr="003778C4">
        <w:rPr>
          <w:rFonts w:cs="Times New Roman"/>
          <w:szCs w:val="24"/>
          <w:lang w:val="en-GB"/>
        </w:rPr>
        <w:t>“draw(</w:t>
      </w:r>
      <w:proofErr w:type="spellStart"/>
      <w:r w:rsidR="00102952" w:rsidRPr="003778C4">
        <w:rPr>
          <w:rFonts w:cs="Times New Roman"/>
          <w:szCs w:val="24"/>
          <w:lang w:val="en-GB"/>
        </w:rPr>
        <w:t>ing</w:t>
      </w:r>
      <w:proofErr w:type="spellEnd"/>
      <w:r w:rsidR="00102952" w:rsidRPr="003778C4">
        <w:rPr>
          <w:rFonts w:cs="Times New Roman"/>
          <w:szCs w:val="24"/>
          <w:lang w:val="en-GB"/>
        </w:rPr>
        <w:t>) on disparate ideas, examples of ‘good practice’ and other resources to produce something original” (p.628), might suggest a</w:t>
      </w:r>
      <w:r w:rsidR="00C11083" w:rsidRPr="003778C4">
        <w:rPr>
          <w:rFonts w:cs="Times New Roman"/>
          <w:szCs w:val="24"/>
          <w:lang w:val="en-GB"/>
        </w:rPr>
        <w:t xml:space="preserve">n extension of role 1B to: </w:t>
      </w:r>
    </w:p>
    <w:p w:rsidR="00D23A01" w:rsidRPr="003778C4" w:rsidRDefault="00C11083" w:rsidP="00895047">
      <w:pPr>
        <w:pStyle w:val="ICMENormal"/>
        <w:spacing w:after="0" w:line="240" w:lineRule="auto"/>
        <w:rPr>
          <w:rFonts w:cs="Times New Roman"/>
          <w:szCs w:val="24"/>
          <w:lang w:val="en-GB"/>
        </w:rPr>
      </w:pPr>
      <w:r w:rsidRPr="003778C4">
        <w:rPr>
          <w:rFonts w:cs="Times New Roman"/>
          <w:szCs w:val="24"/>
          <w:lang w:val="en-GB"/>
        </w:rPr>
        <w:t>1B</w:t>
      </w:r>
      <w:proofErr w:type="gramStart"/>
      <w:r w:rsidRPr="003778C4">
        <w:rPr>
          <w:rFonts w:cs="Times New Roman"/>
          <w:szCs w:val="24"/>
          <w:lang w:val="en-GB"/>
        </w:rPr>
        <w:t>.  Critic</w:t>
      </w:r>
      <w:proofErr w:type="gramEnd"/>
      <w:r w:rsidRPr="003778C4">
        <w:rPr>
          <w:rFonts w:cs="Times New Roman"/>
          <w:szCs w:val="24"/>
          <w:lang w:val="en-GB"/>
        </w:rPr>
        <w:t xml:space="preserve"> and reformer of the field and its claims to deepen its analyses, and to draw out new potential policy directions</w:t>
      </w:r>
    </w:p>
    <w:p w:rsidR="00895047" w:rsidRDefault="00895047" w:rsidP="00895047">
      <w:pPr>
        <w:pStyle w:val="ICMENormal"/>
        <w:spacing w:after="0" w:line="240" w:lineRule="auto"/>
        <w:rPr>
          <w:rFonts w:cs="Times New Roman"/>
          <w:szCs w:val="24"/>
          <w:lang w:val="en-GB"/>
        </w:rPr>
      </w:pPr>
    </w:p>
    <w:p w:rsidR="00102952" w:rsidRPr="003778C4" w:rsidRDefault="00102952" w:rsidP="00895047">
      <w:pPr>
        <w:pStyle w:val="ICMENormal"/>
        <w:spacing w:after="0" w:line="240" w:lineRule="auto"/>
        <w:rPr>
          <w:rFonts w:cs="Times New Roman"/>
          <w:szCs w:val="24"/>
          <w:lang w:val="en-GB"/>
        </w:rPr>
      </w:pPr>
      <w:r w:rsidRPr="003778C4">
        <w:rPr>
          <w:rFonts w:cs="Times New Roman"/>
          <w:szCs w:val="24"/>
          <w:lang w:val="en-GB"/>
        </w:rPr>
        <w:t xml:space="preserve">We might also consider the roles played by the ‘experts’ on which </w:t>
      </w:r>
      <w:proofErr w:type="spellStart"/>
      <w:r w:rsidRPr="003778C4">
        <w:rPr>
          <w:rFonts w:cs="Times New Roman"/>
          <w:szCs w:val="24"/>
          <w:lang w:val="en-GB"/>
        </w:rPr>
        <w:t>Grek</w:t>
      </w:r>
      <w:proofErr w:type="spellEnd"/>
      <w:r w:rsidRPr="003778C4">
        <w:rPr>
          <w:rFonts w:cs="Times New Roman"/>
          <w:szCs w:val="24"/>
          <w:lang w:val="en-GB"/>
        </w:rPr>
        <w:t xml:space="preserve"> (2010)</w:t>
      </w:r>
      <w:r w:rsidR="00CC0F2F" w:rsidRPr="003778C4">
        <w:rPr>
          <w:rFonts w:cs="Times New Roman"/>
          <w:szCs w:val="24"/>
          <w:lang w:val="en-GB"/>
        </w:rPr>
        <w:t xml:space="preserve"> and </w:t>
      </w:r>
      <w:r w:rsidR="00CC0F2F" w:rsidRPr="003778C4">
        <w:rPr>
          <w:rFonts w:cs="Times New Roman"/>
          <w:szCs w:val="24"/>
        </w:rPr>
        <w:t xml:space="preserve">Lawn </w:t>
      </w:r>
      <w:r w:rsidR="00C11083" w:rsidRPr="003778C4">
        <w:rPr>
          <w:rFonts w:cs="Times New Roman"/>
          <w:szCs w:val="24"/>
        </w:rPr>
        <w:t>and</w:t>
      </w:r>
      <w:r w:rsidR="00CC0F2F" w:rsidRPr="003778C4">
        <w:rPr>
          <w:rFonts w:cs="Times New Roman"/>
          <w:szCs w:val="24"/>
        </w:rPr>
        <w:t xml:space="preserve"> Lingard, 2002) </w:t>
      </w:r>
      <w:r w:rsidRPr="003778C4">
        <w:rPr>
          <w:rFonts w:cs="Times New Roman"/>
          <w:szCs w:val="24"/>
          <w:lang w:val="en-GB"/>
        </w:rPr>
        <w:t>focus, and which the OECD and EU foreground; see e.g. OECD PIAAC Numeracy Expert Group (2009) and EU High Level Group of Experts on Literacy (2012).</w:t>
      </w:r>
      <w:r w:rsidR="004F74E8" w:rsidRPr="003778C4">
        <w:rPr>
          <w:rFonts w:cs="Times New Roman"/>
          <w:szCs w:val="24"/>
          <w:lang w:val="en-GB"/>
        </w:rPr>
        <w:t xml:space="preserve"> These would presumably include roles 1A, 1B and 3.</w:t>
      </w:r>
    </w:p>
    <w:p w:rsidR="00895047" w:rsidRDefault="00895047" w:rsidP="00895047">
      <w:pPr>
        <w:pStyle w:val="ICMENormal"/>
        <w:spacing w:after="0" w:line="240" w:lineRule="auto"/>
        <w:rPr>
          <w:rFonts w:cs="Times New Roman"/>
          <w:szCs w:val="24"/>
          <w:lang w:val="en-GB"/>
        </w:rPr>
      </w:pPr>
    </w:p>
    <w:p w:rsidR="00FB0977" w:rsidRPr="003778C4" w:rsidRDefault="004F74E8" w:rsidP="00895047">
      <w:pPr>
        <w:pStyle w:val="ICMENormal"/>
        <w:spacing w:after="0" w:line="240" w:lineRule="auto"/>
        <w:rPr>
          <w:rFonts w:cs="Times New Roman"/>
          <w:szCs w:val="24"/>
          <w:lang w:val="en-GB"/>
        </w:rPr>
      </w:pPr>
      <w:r w:rsidRPr="003778C4">
        <w:rPr>
          <w:rFonts w:cs="Times New Roman"/>
          <w:szCs w:val="24"/>
          <w:lang w:val="en-GB"/>
        </w:rPr>
        <w:lastRenderedPageBreak/>
        <w:t>For the purposes o</w:t>
      </w:r>
      <w:r w:rsidR="00B71ECB" w:rsidRPr="003778C4">
        <w:rPr>
          <w:rFonts w:cs="Times New Roman"/>
          <w:szCs w:val="24"/>
          <w:lang w:val="en-GB"/>
        </w:rPr>
        <w:t>f a more philosophical analysis</w:t>
      </w:r>
      <w:r w:rsidRPr="003778C4">
        <w:rPr>
          <w:rFonts w:cs="Times New Roman"/>
          <w:szCs w:val="24"/>
          <w:lang w:val="en-GB"/>
        </w:rPr>
        <w:t xml:space="preserve">, it might be more satisfactory to focus not on </w:t>
      </w:r>
      <w:r w:rsidR="00BF60A4" w:rsidRPr="003778C4">
        <w:rPr>
          <w:rFonts w:cs="Times New Roman"/>
          <w:szCs w:val="24"/>
          <w:lang w:val="en-GB"/>
        </w:rPr>
        <w:t xml:space="preserve">policy actor </w:t>
      </w:r>
      <w:r w:rsidRPr="003778C4">
        <w:rPr>
          <w:rFonts w:cs="Times New Roman"/>
          <w:szCs w:val="24"/>
          <w:lang w:val="en-GB"/>
        </w:rPr>
        <w:t xml:space="preserve">roles, but on </w:t>
      </w:r>
      <w:r w:rsidR="00681165" w:rsidRPr="003778C4">
        <w:rPr>
          <w:rFonts w:cs="Times New Roman"/>
          <w:szCs w:val="24"/>
          <w:lang w:val="en-GB"/>
        </w:rPr>
        <w:t xml:space="preserve">the more fine-grained </w:t>
      </w:r>
      <w:r w:rsidR="00B71ECB" w:rsidRPr="003778C4">
        <w:rPr>
          <w:rFonts w:cs="Times New Roman"/>
          <w:szCs w:val="24"/>
          <w:lang w:val="en-GB"/>
        </w:rPr>
        <w:t>(</w:t>
      </w:r>
      <w:r w:rsidR="00681165" w:rsidRPr="003778C4">
        <w:rPr>
          <w:rFonts w:cs="Times New Roman"/>
          <w:szCs w:val="24"/>
          <w:lang w:val="en-GB"/>
        </w:rPr>
        <w:t xml:space="preserve">and often </w:t>
      </w:r>
      <w:r w:rsidR="00B71ECB" w:rsidRPr="003778C4">
        <w:rPr>
          <w:rFonts w:cs="Times New Roman"/>
          <w:szCs w:val="24"/>
          <w:lang w:val="en-GB"/>
        </w:rPr>
        <w:t>m</w:t>
      </w:r>
      <w:r w:rsidR="00FB0977" w:rsidRPr="003778C4">
        <w:rPr>
          <w:rFonts w:cs="Times New Roman"/>
          <w:szCs w:val="24"/>
          <w:lang w:val="en-GB"/>
        </w:rPr>
        <w:t xml:space="preserve">ultiple) </w:t>
      </w:r>
      <w:r w:rsidR="00FB0977" w:rsidRPr="003778C4">
        <w:rPr>
          <w:rFonts w:cs="Times New Roman"/>
          <w:i/>
          <w:szCs w:val="24"/>
          <w:lang w:val="en-GB"/>
        </w:rPr>
        <w:t>actions</w:t>
      </w:r>
      <w:r w:rsidR="00FB0977" w:rsidRPr="003778C4">
        <w:rPr>
          <w:rFonts w:cs="Times New Roman"/>
          <w:szCs w:val="24"/>
          <w:lang w:val="en-GB"/>
        </w:rPr>
        <w:t xml:space="preserve"> taken b</w:t>
      </w:r>
      <w:r w:rsidR="00B71ECB" w:rsidRPr="003778C4">
        <w:rPr>
          <w:rFonts w:cs="Times New Roman"/>
          <w:szCs w:val="24"/>
          <w:lang w:val="en-GB"/>
        </w:rPr>
        <w:t>y a particular researcher or team.</w:t>
      </w:r>
      <w:r w:rsidR="00C11083" w:rsidRPr="003778C4">
        <w:rPr>
          <w:rFonts w:cs="Times New Roman"/>
          <w:szCs w:val="24"/>
          <w:lang w:val="en-GB"/>
        </w:rPr>
        <w:t xml:space="preserve"> </w:t>
      </w:r>
      <w:r w:rsidR="00681165" w:rsidRPr="003778C4">
        <w:rPr>
          <w:rFonts w:cs="Times New Roman"/>
          <w:szCs w:val="24"/>
          <w:lang w:val="en-GB"/>
        </w:rPr>
        <w:t>For example, in our particular sample:</w:t>
      </w:r>
    </w:p>
    <w:p w:rsidR="00917774" w:rsidRPr="003778C4" w:rsidRDefault="00193A46" w:rsidP="00895047">
      <w:pPr>
        <w:pStyle w:val="ICMENormal"/>
        <w:numPr>
          <w:ilvl w:val="0"/>
          <w:numId w:val="21"/>
        </w:numPr>
        <w:spacing w:after="0" w:line="240" w:lineRule="auto"/>
        <w:jc w:val="left"/>
        <w:rPr>
          <w:rFonts w:cs="Times New Roman"/>
          <w:szCs w:val="24"/>
          <w:lang w:val="en-GB"/>
        </w:rPr>
      </w:pPr>
      <w:r w:rsidRPr="003778C4">
        <w:rPr>
          <w:rFonts w:cs="Times New Roman"/>
          <w:szCs w:val="24"/>
          <w:lang w:val="en-GB"/>
        </w:rPr>
        <w:t>Pointing out a gap in the information</w:t>
      </w:r>
      <w:r w:rsidR="00CC0F2F" w:rsidRPr="003778C4">
        <w:rPr>
          <w:rFonts w:cs="Times New Roman"/>
          <w:szCs w:val="24"/>
          <w:lang w:val="en-GB"/>
        </w:rPr>
        <w:t>, and hence analyses,</w:t>
      </w:r>
      <w:r w:rsidRPr="003778C4">
        <w:rPr>
          <w:rFonts w:cs="Times New Roman"/>
          <w:szCs w:val="24"/>
          <w:lang w:val="en-GB"/>
        </w:rPr>
        <w:t xml:space="preserve"> available (</w:t>
      </w:r>
      <w:r w:rsidR="005C6F01" w:rsidRPr="003778C4">
        <w:rPr>
          <w:rFonts w:cs="Times New Roman"/>
          <w:szCs w:val="24"/>
          <w:lang w:val="en-GB"/>
        </w:rPr>
        <w:t xml:space="preserve">e.g. </w:t>
      </w:r>
      <w:r w:rsidRPr="003778C4">
        <w:rPr>
          <w:rFonts w:cs="Times New Roman"/>
          <w:szCs w:val="24"/>
          <w:lang w:val="en-GB"/>
        </w:rPr>
        <w:t>Straesser)</w:t>
      </w:r>
    </w:p>
    <w:p w:rsidR="00917774" w:rsidRPr="003778C4" w:rsidRDefault="00193A46" w:rsidP="00895047">
      <w:pPr>
        <w:pStyle w:val="ICMENormal"/>
        <w:numPr>
          <w:ilvl w:val="0"/>
          <w:numId w:val="21"/>
        </w:numPr>
        <w:spacing w:after="0" w:line="240" w:lineRule="auto"/>
        <w:jc w:val="left"/>
        <w:rPr>
          <w:rFonts w:cs="Times New Roman"/>
          <w:szCs w:val="24"/>
          <w:lang w:val="en-GB"/>
        </w:rPr>
      </w:pPr>
      <w:r w:rsidRPr="003778C4">
        <w:rPr>
          <w:rFonts w:cs="Times New Roman"/>
          <w:szCs w:val="24"/>
          <w:lang w:val="en-GB"/>
        </w:rPr>
        <w:t xml:space="preserve">Drawing attention to </w:t>
      </w:r>
      <w:r w:rsidR="005B5402" w:rsidRPr="003778C4">
        <w:rPr>
          <w:rFonts w:cs="Times New Roman"/>
          <w:szCs w:val="24"/>
          <w:lang w:val="en-GB"/>
        </w:rPr>
        <w:t>‘</w:t>
      </w:r>
      <w:r w:rsidRPr="003778C4">
        <w:rPr>
          <w:rFonts w:cs="Times New Roman"/>
          <w:szCs w:val="24"/>
          <w:lang w:val="en-GB"/>
        </w:rPr>
        <w:t>invisible</w:t>
      </w:r>
      <w:r w:rsidR="005B5402" w:rsidRPr="003778C4">
        <w:rPr>
          <w:rFonts w:cs="Times New Roman"/>
          <w:szCs w:val="24"/>
          <w:lang w:val="en-GB"/>
        </w:rPr>
        <w:t>’</w:t>
      </w:r>
      <w:r w:rsidRPr="003778C4">
        <w:rPr>
          <w:rFonts w:cs="Times New Roman"/>
          <w:szCs w:val="24"/>
          <w:lang w:val="en-GB"/>
        </w:rPr>
        <w:t xml:space="preserve"> / under-used information available in </w:t>
      </w:r>
      <w:r w:rsidR="00681165" w:rsidRPr="003778C4">
        <w:rPr>
          <w:rFonts w:cs="Times New Roman"/>
          <w:szCs w:val="24"/>
          <w:lang w:val="en-GB"/>
        </w:rPr>
        <w:t xml:space="preserve">the </w:t>
      </w:r>
      <w:r w:rsidRPr="003778C4">
        <w:rPr>
          <w:rFonts w:cs="Times New Roman"/>
          <w:szCs w:val="24"/>
          <w:lang w:val="en-GB"/>
        </w:rPr>
        <w:t xml:space="preserve">PIAAC BQ, </w:t>
      </w:r>
      <w:r w:rsidR="00681165" w:rsidRPr="003778C4">
        <w:rPr>
          <w:rFonts w:cs="Times New Roman"/>
          <w:szCs w:val="24"/>
          <w:lang w:val="en-GB"/>
        </w:rPr>
        <w:t xml:space="preserve">and / or </w:t>
      </w:r>
      <w:r w:rsidRPr="003778C4">
        <w:rPr>
          <w:rFonts w:cs="Times New Roman"/>
          <w:szCs w:val="24"/>
          <w:lang w:val="en-GB"/>
        </w:rPr>
        <w:t xml:space="preserve">in potential </w:t>
      </w:r>
      <w:r w:rsidR="00CC0F2F" w:rsidRPr="003778C4">
        <w:rPr>
          <w:rFonts w:cs="Times New Roman"/>
          <w:szCs w:val="24"/>
          <w:lang w:val="en-GB"/>
        </w:rPr>
        <w:t>q</w:t>
      </w:r>
      <w:r w:rsidRPr="003778C4">
        <w:rPr>
          <w:rFonts w:cs="Times New Roman"/>
          <w:szCs w:val="24"/>
          <w:lang w:val="en-GB"/>
        </w:rPr>
        <w:t>ual</w:t>
      </w:r>
      <w:r w:rsidR="00CC0F2F" w:rsidRPr="003778C4">
        <w:rPr>
          <w:rFonts w:cs="Times New Roman"/>
          <w:szCs w:val="24"/>
          <w:lang w:val="en-GB"/>
        </w:rPr>
        <w:t>itative</w:t>
      </w:r>
      <w:r w:rsidRPr="003778C4">
        <w:rPr>
          <w:rFonts w:cs="Times New Roman"/>
          <w:szCs w:val="24"/>
          <w:lang w:val="en-GB"/>
        </w:rPr>
        <w:t xml:space="preserve"> studies (</w:t>
      </w:r>
      <w:r w:rsidR="005C6F01" w:rsidRPr="003778C4">
        <w:rPr>
          <w:rFonts w:cs="Times New Roman"/>
          <w:szCs w:val="24"/>
          <w:lang w:val="en-GB"/>
        </w:rPr>
        <w:t xml:space="preserve">e.g. </w:t>
      </w:r>
      <w:r w:rsidRPr="003778C4">
        <w:rPr>
          <w:rFonts w:cs="Times New Roman"/>
          <w:szCs w:val="24"/>
          <w:lang w:val="en-GB"/>
        </w:rPr>
        <w:t>Carpentieri, St. Clair, Reder)</w:t>
      </w:r>
    </w:p>
    <w:p w:rsidR="00B71ECB" w:rsidRPr="003778C4" w:rsidRDefault="00B71ECB" w:rsidP="00895047">
      <w:pPr>
        <w:pStyle w:val="ICMENormal"/>
        <w:numPr>
          <w:ilvl w:val="0"/>
          <w:numId w:val="21"/>
        </w:numPr>
        <w:spacing w:after="0" w:line="240" w:lineRule="auto"/>
        <w:jc w:val="left"/>
        <w:rPr>
          <w:rFonts w:cs="Times New Roman"/>
          <w:szCs w:val="24"/>
          <w:lang w:val="en-GB"/>
        </w:rPr>
      </w:pPr>
      <w:r w:rsidRPr="003778C4">
        <w:rPr>
          <w:rFonts w:cs="Times New Roman"/>
          <w:szCs w:val="24"/>
          <w:lang w:val="en-GB"/>
        </w:rPr>
        <w:t xml:space="preserve">Suggesting the simplification of concepts </w:t>
      </w:r>
      <w:r w:rsidR="00622130" w:rsidRPr="003778C4">
        <w:rPr>
          <w:rFonts w:cs="Times New Roman"/>
          <w:szCs w:val="24"/>
          <w:lang w:val="en-GB"/>
        </w:rPr>
        <w:t xml:space="preserve"> or</w:t>
      </w:r>
      <w:r w:rsidRPr="003778C4">
        <w:rPr>
          <w:rFonts w:cs="Times New Roman"/>
          <w:szCs w:val="24"/>
          <w:lang w:val="en-GB"/>
        </w:rPr>
        <w:t xml:space="preserve"> explanations (</w:t>
      </w:r>
      <w:r w:rsidR="005C6F01" w:rsidRPr="003778C4">
        <w:rPr>
          <w:rFonts w:cs="Times New Roman"/>
          <w:szCs w:val="24"/>
          <w:lang w:val="en-GB"/>
        </w:rPr>
        <w:t xml:space="preserve">e.g. </w:t>
      </w:r>
      <w:r w:rsidRPr="003778C4">
        <w:rPr>
          <w:rFonts w:cs="Times New Roman"/>
          <w:szCs w:val="24"/>
          <w:lang w:val="en-GB"/>
        </w:rPr>
        <w:t>St. Clair)</w:t>
      </w:r>
    </w:p>
    <w:p w:rsidR="00917774" w:rsidRPr="003778C4" w:rsidRDefault="00193A46" w:rsidP="00895047">
      <w:pPr>
        <w:pStyle w:val="ICMENormal"/>
        <w:numPr>
          <w:ilvl w:val="0"/>
          <w:numId w:val="21"/>
        </w:numPr>
        <w:spacing w:after="0" w:line="240" w:lineRule="auto"/>
        <w:jc w:val="left"/>
        <w:rPr>
          <w:rFonts w:cs="Times New Roman"/>
          <w:szCs w:val="24"/>
          <w:lang w:val="en-GB"/>
        </w:rPr>
      </w:pPr>
      <w:r w:rsidRPr="003778C4">
        <w:rPr>
          <w:rFonts w:cs="Times New Roman"/>
          <w:szCs w:val="24"/>
          <w:lang w:val="en-GB"/>
        </w:rPr>
        <w:t xml:space="preserve">Pointing to possible use of new concepts e.g. </w:t>
      </w:r>
      <w:r w:rsidR="005B5402" w:rsidRPr="003778C4">
        <w:rPr>
          <w:rFonts w:cs="Times New Roman"/>
          <w:szCs w:val="24"/>
          <w:lang w:val="en-GB"/>
        </w:rPr>
        <w:t>‘</w:t>
      </w:r>
      <w:r w:rsidRPr="003778C4">
        <w:rPr>
          <w:rFonts w:cs="Times New Roman"/>
          <w:szCs w:val="24"/>
          <w:lang w:val="en-GB"/>
        </w:rPr>
        <w:t>literate environment</w:t>
      </w:r>
      <w:r w:rsidR="005B5402" w:rsidRPr="003778C4">
        <w:rPr>
          <w:rFonts w:cs="Times New Roman"/>
          <w:szCs w:val="24"/>
          <w:lang w:val="en-GB"/>
        </w:rPr>
        <w:t>’</w:t>
      </w:r>
      <w:r w:rsidR="00B71ECB" w:rsidRPr="003778C4">
        <w:rPr>
          <w:rFonts w:cs="Times New Roman"/>
          <w:szCs w:val="24"/>
          <w:lang w:val="en-GB"/>
        </w:rPr>
        <w:t xml:space="preserve"> (</w:t>
      </w:r>
      <w:r w:rsidR="005C6F01" w:rsidRPr="003778C4">
        <w:rPr>
          <w:rFonts w:cs="Times New Roman"/>
          <w:szCs w:val="24"/>
          <w:lang w:val="en-GB"/>
        </w:rPr>
        <w:t xml:space="preserve">e.g. </w:t>
      </w:r>
      <w:r w:rsidR="00B71ECB" w:rsidRPr="003778C4">
        <w:rPr>
          <w:rFonts w:cs="Times New Roman"/>
          <w:szCs w:val="24"/>
          <w:lang w:val="en-GB"/>
        </w:rPr>
        <w:t>Carpentieri)</w:t>
      </w:r>
      <w:r w:rsidRPr="003778C4">
        <w:rPr>
          <w:rFonts w:cs="Times New Roman"/>
          <w:szCs w:val="24"/>
          <w:lang w:val="en-GB"/>
        </w:rPr>
        <w:t xml:space="preserve">, </w:t>
      </w:r>
      <w:r w:rsidR="005B5402" w:rsidRPr="003778C4">
        <w:rPr>
          <w:rFonts w:cs="Times New Roman"/>
          <w:szCs w:val="24"/>
          <w:lang w:val="en-GB"/>
        </w:rPr>
        <w:t>‘</w:t>
      </w:r>
      <w:r w:rsidRPr="003778C4">
        <w:rPr>
          <w:rFonts w:cs="Times New Roman"/>
          <w:szCs w:val="24"/>
          <w:lang w:val="en-GB"/>
        </w:rPr>
        <w:t>reading engagement</w:t>
      </w:r>
      <w:r w:rsidR="005B5402" w:rsidRPr="003778C4">
        <w:rPr>
          <w:rFonts w:cs="Times New Roman"/>
          <w:szCs w:val="24"/>
          <w:lang w:val="en-GB"/>
        </w:rPr>
        <w:t>’</w:t>
      </w:r>
      <w:r w:rsidRPr="003778C4">
        <w:rPr>
          <w:rFonts w:cs="Times New Roman"/>
          <w:szCs w:val="24"/>
          <w:lang w:val="en-GB"/>
        </w:rPr>
        <w:t xml:space="preserve"> (Reder)</w:t>
      </w:r>
    </w:p>
    <w:p w:rsidR="005C6F01" w:rsidRPr="003778C4" w:rsidRDefault="00B71ECB" w:rsidP="00895047">
      <w:pPr>
        <w:pStyle w:val="ICMENormal"/>
        <w:numPr>
          <w:ilvl w:val="0"/>
          <w:numId w:val="21"/>
        </w:numPr>
        <w:spacing w:after="0" w:line="240" w:lineRule="auto"/>
        <w:jc w:val="left"/>
        <w:rPr>
          <w:rFonts w:cs="Times New Roman"/>
          <w:szCs w:val="24"/>
          <w:lang w:val="en-GB"/>
        </w:rPr>
      </w:pPr>
      <w:r w:rsidRPr="003778C4">
        <w:rPr>
          <w:rFonts w:cs="Times New Roman"/>
          <w:szCs w:val="24"/>
          <w:lang w:val="en-GB"/>
        </w:rPr>
        <w:t xml:space="preserve">Re-emphasis on importance of classic concepts, such as the </w:t>
      </w:r>
      <w:r w:rsidRPr="003778C4">
        <w:rPr>
          <w:rFonts w:cs="Times New Roman"/>
          <w:i/>
          <w:szCs w:val="24"/>
          <w:lang w:val="en-GB"/>
        </w:rPr>
        <w:t>transfer</w:t>
      </w:r>
      <w:r w:rsidRPr="003778C4">
        <w:rPr>
          <w:rFonts w:cs="Times New Roman"/>
          <w:szCs w:val="24"/>
          <w:lang w:val="en-GB"/>
        </w:rPr>
        <w:t xml:space="preserve"> of meanings between different contexts (Jablonka, Straesser), including flexibility in </w:t>
      </w:r>
      <w:r w:rsidR="005B5402" w:rsidRPr="003778C4">
        <w:rPr>
          <w:rFonts w:cs="Times New Roman"/>
          <w:szCs w:val="24"/>
          <w:lang w:val="en-GB"/>
        </w:rPr>
        <w:t xml:space="preserve">the </w:t>
      </w:r>
      <w:r w:rsidRPr="003778C4">
        <w:rPr>
          <w:rFonts w:cs="Times New Roman"/>
          <w:szCs w:val="24"/>
          <w:lang w:val="en-GB"/>
        </w:rPr>
        <w:t xml:space="preserve">use of different representations (Tout </w:t>
      </w:r>
      <w:r w:rsidR="00A84F07" w:rsidRPr="003778C4">
        <w:rPr>
          <w:rFonts w:cs="Times New Roman"/>
          <w:szCs w:val="24"/>
          <w:lang w:val="en-GB"/>
        </w:rPr>
        <w:t xml:space="preserve">and </w:t>
      </w:r>
      <w:r w:rsidRPr="003778C4">
        <w:rPr>
          <w:rFonts w:cs="Times New Roman"/>
          <w:szCs w:val="24"/>
          <w:lang w:val="en-GB"/>
        </w:rPr>
        <w:t>Gal)</w:t>
      </w:r>
    </w:p>
    <w:p w:rsidR="00FB0977" w:rsidRPr="003778C4" w:rsidRDefault="00FB0977" w:rsidP="00895047">
      <w:pPr>
        <w:pStyle w:val="ICMENormal"/>
        <w:numPr>
          <w:ilvl w:val="0"/>
          <w:numId w:val="21"/>
        </w:numPr>
        <w:spacing w:after="0" w:line="240" w:lineRule="auto"/>
        <w:jc w:val="left"/>
        <w:rPr>
          <w:rFonts w:cs="Times New Roman"/>
          <w:szCs w:val="24"/>
          <w:lang w:val="en-GB"/>
        </w:rPr>
      </w:pPr>
      <w:r w:rsidRPr="003778C4">
        <w:rPr>
          <w:rFonts w:cs="Times New Roman"/>
          <w:szCs w:val="24"/>
          <w:lang w:val="en-GB"/>
        </w:rPr>
        <w:t>Suggesting possible n</w:t>
      </w:r>
      <w:r w:rsidR="00B71ECB" w:rsidRPr="003778C4">
        <w:rPr>
          <w:rFonts w:cs="Times New Roman"/>
          <w:szCs w:val="24"/>
          <w:lang w:val="en-GB"/>
        </w:rPr>
        <w:t xml:space="preserve">ew concepts, e.g. </w:t>
      </w:r>
      <w:r w:rsidR="005B5402" w:rsidRPr="003778C4">
        <w:rPr>
          <w:rFonts w:cs="Times New Roman"/>
          <w:szCs w:val="24"/>
          <w:lang w:val="en-GB"/>
        </w:rPr>
        <w:t>‘</w:t>
      </w:r>
      <w:r w:rsidR="00B71ECB" w:rsidRPr="003778C4">
        <w:rPr>
          <w:rFonts w:cs="Times New Roman"/>
          <w:szCs w:val="24"/>
          <w:lang w:val="en-GB"/>
        </w:rPr>
        <w:t xml:space="preserve">numerate </w:t>
      </w:r>
      <w:r w:rsidRPr="003778C4">
        <w:rPr>
          <w:rFonts w:cs="Times New Roman"/>
          <w:szCs w:val="24"/>
          <w:lang w:val="en-GB"/>
        </w:rPr>
        <w:t>environment</w:t>
      </w:r>
      <w:r w:rsidR="005B5402" w:rsidRPr="003778C4">
        <w:rPr>
          <w:rFonts w:cs="Times New Roman"/>
          <w:szCs w:val="24"/>
          <w:lang w:val="en-GB"/>
        </w:rPr>
        <w:t>’</w:t>
      </w:r>
      <w:r w:rsidRPr="003778C4">
        <w:rPr>
          <w:rFonts w:cs="Times New Roman"/>
          <w:szCs w:val="24"/>
          <w:lang w:val="en-GB"/>
        </w:rPr>
        <w:t>? (</w:t>
      </w:r>
      <w:r w:rsidR="005C6F01" w:rsidRPr="003778C4">
        <w:rPr>
          <w:rFonts w:cs="Times New Roman"/>
          <w:szCs w:val="24"/>
          <w:lang w:val="en-GB"/>
        </w:rPr>
        <w:t xml:space="preserve">cf. </w:t>
      </w:r>
      <w:r w:rsidR="005B5402" w:rsidRPr="003778C4">
        <w:rPr>
          <w:rFonts w:cs="Times New Roman"/>
          <w:szCs w:val="24"/>
          <w:lang w:val="en-GB"/>
        </w:rPr>
        <w:t xml:space="preserve">Evans, Yasukawa, Mallows </w:t>
      </w:r>
      <w:r w:rsidR="00A84F07" w:rsidRPr="003778C4">
        <w:rPr>
          <w:rFonts w:cs="Times New Roman"/>
          <w:szCs w:val="24"/>
          <w:lang w:val="en-GB"/>
        </w:rPr>
        <w:t xml:space="preserve">and </w:t>
      </w:r>
      <w:bookmarkStart w:id="0" w:name="_GoBack"/>
      <w:bookmarkEnd w:id="0"/>
      <w:proofErr w:type="spellStart"/>
      <w:r w:rsidR="005B5402" w:rsidRPr="003778C4">
        <w:rPr>
          <w:rFonts w:cs="Times New Roman"/>
          <w:szCs w:val="24"/>
          <w:lang w:val="en-GB"/>
        </w:rPr>
        <w:t>Creese</w:t>
      </w:r>
      <w:proofErr w:type="spellEnd"/>
      <w:r w:rsidR="005B5402" w:rsidRPr="003778C4">
        <w:rPr>
          <w:rFonts w:cs="Times New Roman"/>
          <w:szCs w:val="24"/>
          <w:lang w:val="en-GB"/>
        </w:rPr>
        <w:t>,</w:t>
      </w:r>
      <w:r w:rsidRPr="003778C4">
        <w:rPr>
          <w:rFonts w:cs="Times New Roman"/>
          <w:szCs w:val="24"/>
          <w:lang w:val="en-GB"/>
        </w:rPr>
        <w:t xml:space="preserve"> 2016)</w:t>
      </w:r>
    </w:p>
    <w:p w:rsidR="005C6F01" w:rsidRPr="003778C4" w:rsidRDefault="005C6F01" w:rsidP="00895047">
      <w:pPr>
        <w:pStyle w:val="ICMENormal"/>
        <w:spacing w:after="0" w:line="240" w:lineRule="auto"/>
        <w:ind w:left="720"/>
        <w:jc w:val="left"/>
        <w:rPr>
          <w:rFonts w:cs="Times New Roman"/>
          <w:szCs w:val="24"/>
          <w:lang w:val="en-GB"/>
        </w:rPr>
      </w:pPr>
    </w:p>
    <w:p w:rsidR="00BF4C62" w:rsidRPr="003778C4" w:rsidRDefault="00BF4C62" w:rsidP="00895047">
      <w:pPr>
        <w:pStyle w:val="ICMEHeading3"/>
        <w:spacing w:after="0" w:line="240" w:lineRule="auto"/>
        <w:rPr>
          <w:rFonts w:cs="Times New Roman"/>
          <w:szCs w:val="24"/>
          <w:lang w:val="en-GB"/>
        </w:rPr>
      </w:pPr>
      <w:r w:rsidRPr="003778C4">
        <w:rPr>
          <w:rFonts w:cs="Times New Roman"/>
          <w:szCs w:val="24"/>
          <w:lang w:val="en-GB"/>
        </w:rPr>
        <w:t>References</w:t>
      </w:r>
      <w:r w:rsidR="00970531" w:rsidRPr="003778C4">
        <w:rPr>
          <w:rFonts w:cs="Times New Roman"/>
          <w:szCs w:val="24"/>
          <w:lang w:val="en-GB"/>
        </w:rPr>
        <w:tab/>
      </w:r>
      <w:r w:rsidR="00970531" w:rsidRPr="003778C4">
        <w:rPr>
          <w:rFonts w:cs="Times New Roman"/>
          <w:i/>
          <w:szCs w:val="24"/>
          <w:lang w:val="en-GB"/>
        </w:rPr>
        <w:t>(* indicates one of the sample articles)</w:t>
      </w:r>
    </w:p>
    <w:p w:rsidR="00A77E5C" w:rsidRPr="003778C4" w:rsidRDefault="00A77E5C"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Ball, S. J., Maguire, M., Braun, A., &amp; Hoskins, K. (2011).</w:t>
      </w:r>
      <w:proofErr w:type="gramEnd"/>
      <w:r w:rsidRPr="003778C4">
        <w:rPr>
          <w:rFonts w:cs="Times New Roman"/>
          <w:sz w:val="24"/>
          <w:szCs w:val="24"/>
          <w:lang w:val="en-GB"/>
        </w:rPr>
        <w:t xml:space="preserve"> Policy actors: Doing policy work in schools.</w:t>
      </w:r>
      <w:r w:rsidRPr="003778C4">
        <w:rPr>
          <w:rStyle w:val="apple-converted-space"/>
          <w:rFonts w:cs="Times New Roman"/>
          <w:sz w:val="24"/>
          <w:szCs w:val="24"/>
          <w:lang w:val="en-GB"/>
        </w:rPr>
        <w:t> </w:t>
      </w:r>
      <w:r w:rsidRPr="003778C4">
        <w:rPr>
          <w:rFonts w:cs="Times New Roman"/>
          <w:i/>
          <w:sz w:val="24"/>
          <w:szCs w:val="24"/>
          <w:lang w:val="en-GB"/>
        </w:rPr>
        <w:t>Discourse: Studies in the Cultural Politics of Education</w:t>
      </w:r>
      <w:r w:rsidRPr="003778C4">
        <w:rPr>
          <w:rFonts w:cs="Times New Roman"/>
          <w:sz w:val="24"/>
          <w:szCs w:val="24"/>
          <w:lang w:val="en-GB"/>
        </w:rPr>
        <w:t>,</w:t>
      </w:r>
      <w:r w:rsidRPr="003778C4">
        <w:rPr>
          <w:rStyle w:val="apple-converted-space"/>
          <w:rFonts w:cs="Times New Roman"/>
          <w:sz w:val="24"/>
          <w:szCs w:val="24"/>
          <w:lang w:val="en-GB"/>
        </w:rPr>
        <w:t> </w:t>
      </w:r>
      <w:r w:rsidRPr="003778C4">
        <w:rPr>
          <w:rFonts w:cs="Times New Roman"/>
          <w:sz w:val="24"/>
          <w:szCs w:val="24"/>
          <w:lang w:val="en-GB"/>
        </w:rPr>
        <w:t>32(4), 625-639.</w:t>
      </w:r>
    </w:p>
    <w:p w:rsidR="002C028C" w:rsidRPr="003778C4" w:rsidRDefault="00970531"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t xml:space="preserve">* </w:t>
      </w:r>
      <w:r w:rsidR="002C028C" w:rsidRPr="003778C4">
        <w:rPr>
          <w:rFonts w:cs="Times New Roman"/>
          <w:sz w:val="24"/>
          <w:szCs w:val="24"/>
          <w:lang w:val="en-GB"/>
        </w:rPr>
        <w:t>Carpentieri, J</w:t>
      </w:r>
      <w:r w:rsidR="00A77E5C" w:rsidRPr="003778C4">
        <w:rPr>
          <w:rFonts w:cs="Times New Roman"/>
          <w:sz w:val="24"/>
          <w:szCs w:val="24"/>
          <w:lang w:val="en-GB"/>
        </w:rPr>
        <w:t>.</w:t>
      </w:r>
      <w:r w:rsidR="002C028C" w:rsidRPr="003778C4">
        <w:rPr>
          <w:rFonts w:cs="Times New Roman"/>
          <w:sz w:val="24"/>
          <w:szCs w:val="24"/>
          <w:lang w:val="en-GB"/>
        </w:rPr>
        <w:t>D</w:t>
      </w:r>
      <w:r w:rsidR="00A77E5C" w:rsidRPr="003778C4">
        <w:rPr>
          <w:rFonts w:cs="Times New Roman"/>
          <w:sz w:val="24"/>
          <w:szCs w:val="24"/>
          <w:lang w:val="en-GB"/>
        </w:rPr>
        <w:t>.</w:t>
      </w:r>
      <w:r w:rsidR="002C028C" w:rsidRPr="003778C4">
        <w:rPr>
          <w:rFonts w:cs="Times New Roman"/>
          <w:sz w:val="24"/>
          <w:szCs w:val="24"/>
          <w:lang w:val="en-GB"/>
        </w:rPr>
        <w:t xml:space="preserve"> </w:t>
      </w:r>
      <w:r w:rsidR="00A77E5C" w:rsidRPr="003778C4">
        <w:rPr>
          <w:rFonts w:cs="Times New Roman"/>
          <w:sz w:val="24"/>
          <w:szCs w:val="24"/>
          <w:lang w:val="en-GB"/>
        </w:rPr>
        <w:t>(</w:t>
      </w:r>
      <w:r w:rsidR="002C028C" w:rsidRPr="003778C4">
        <w:rPr>
          <w:rFonts w:cs="Times New Roman"/>
          <w:sz w:val="24"/>
          <w:szCs w:val="24"/>
          <w:lang w:val="en-GB"/>
        </w:rPr>
        <w:t>2015</w:t>
      </w:r>
      <w:r w:rsidR="00A77E5C" w:rsidRPr="003778C4">
        <w:rPr>
          <w:rFonts w:cs="Times New Roman"/>
          <w:sz w:val="24"/>
          <w:szCs w:val="24"/>
          <w:lang w:val="en-GB"/>
        </w:rPr>
        <w:t>).</w:t>
      </w:r>
      <w:r w:rsidR="002C028C" w:rsidRPr="003778C4">
        <w:rPr>
          <w:rFonts w:cs="Times New Roman"/>
          <w:sz w:val="24"/>
          <w:szCs w:val="24"/>
          <w:lang w:val="en-GB"/>
        </w:rPr>
        <w:t xml:space="preserve"> </w:t>
      </w:r>
      <w:proofErr w:type="gramStart"/>
      <w:r w:rsidR="009A2F2C" w:rsidRPr="003778C4">
        <w:rPr>
          <w:rFonts w:cs="Times New Roman"/>
          <w:sz w:val="24"/>
          <w:szCs w:val="24"/>
          <w:lang w:val="en-GB"/>
        </w:rPr>
        <w:t xml:space="preserve">Adding </w:t>
      </w:r>
      <w:r w:rsidR="00A77E5C" w:rsidRPr="003778C4">
        <w:rPr>
          <w:rFonts w:cs="Times New Roman"/>
          <w:sz w:val="24"/>
          <w:szCs w:val="24"/>
          <w:lang w:val="en-GB"/>
        </w:rPr>
        <w:t>n</w:t>
      </w:r>
      <w:r w:rsidR="009A2F2C" w:rsidRPr="003778C4">
        <w:rPr>
          <w:rFonts w:cs="Times New Roman"/>
          <w:sz w:val="24"/>
          <w:szCs w:val="24"/>
          <w:lang w:val="en-GB"/>
        </w:rPr>
        <w:t xml:space="preserve">ew </w:t>
      </w:r>
      <w:r w:rsidR="00A77E5C" w:rsidRPr="003778C4">
        <w:rPr>
          <w:rFonts w:cs="Times New Roman"/>
          <w:sz w:val="24"/>
          <w:szCs w:val="24"/>
          <w:lang w:val="en-GB"/>
        </w:rPr>
        <w:t>n</w:t>
      </w:r>
      <w:r w:rsidR="009A2F2C" w:rsidRPr="003778C4">
        <w:rPr>
          <w:rFonts w:cs="Times New Roman"/>
          <w:sz w:val="24"/>
          <w:szCs w:val="24"/>
          <w:lang w:val="en-GB"/>
        </w:rPr>
        <w:t xml:space="preserve">umbers to the </w:t>
      </w:r>
      <w:r w:rsidR="00A77E5C" w:rsidRPr="003778C4">
        <w:rPr>
          <w:rFonts w:cs="Times New Roman"/>
          <w:sz w:val="24"/>
          <w:szCs w:val="24"/>
          <w:lang w:val="en-GB"/>
        </w:rPr>
        <w:t>l</w:t>
      </w:r>
      <w:r w:rsidR="009A2F2C" w:rsidRPr="003778C4">
        <w:rPr>
          <w:rFonts w:cs="Times New Roman"/>
          <w:sz w:val="24"/>
          <w:szCs w:val="24"/>
          <w:lang w:val="en-GB"/>
        </w:rPr>
        <w:t xml:space="preserve">iteracy </w:t>
      </w:r>
      <w:r w:rsidR="00A77E5C" w:rsidRPr="003778C4">
        <w:rPr>
          <w:rFonts w:cs="Times New Roman"/>
          <w:sz w:val="24"/>
          <w:szCs w:val="24"/>
          <w:lang w:val="en-GB"/>
        </w:rPr>
        <w:t>n</w:t>
      </w:r>
      <w:r w:rsidR="009A2F2C" w:rsidRPr="003778C4">
        <w:rPr>
          <w:rFonts w:cs="Times New Roman"/>
          <w:sz w:val="24"/>
          <w:szCs w:val="24"/>
          <w:lang w:val="en-GB"/>
        </w:rPr>
        <w:t xml:space="preserve">arrative: Using PIAAC </w:t>
      </w:r>
      <w:r w:rsidR="00A77E5C" w:rsidRPr="003778C4">
        <w:rPr>
          <w:rFonts w:cs="Times New Roman"/>
          <w:sz w:val="24"/>
          <w:szCs w:val="24"/>
          <w:lang w:val="en-GB"/>
        </w:rPr>
        <w:t>d</w:t>
      </w:r>
      <w:r w:rsidR="009A2F2C" w:rsidRPr="003778C4">
        <w:rPr>
          <w:rFonts w:cs="Times New Roman"/>
          <w:sz w:val="24"/>
          <w:szCs w:val="24"/>
          <w:lang w:val="en-GB"/>
        </w:rPr>
        <w:t xml:space="preserve">ata to </w:t>
      </w:r>
      <w:r w:rsidR="00A77E5C" w:rsidRPr="003778C4">
        <w:rPr>
          <w:rFonts w:cs="Times New Roman"/>
          <w:sz w:val="24"/>
          <w:szCs w:val="24"/>
          <w:lang w:val="en-GB"/>
        </w:rPr>
        <w:t>f</w:t>
      </w:r>
      <w:r w:rsidR="009A2F2C" w:rsidRPr="003778C4">
        <w:rPr>
          <w:rFonts w:cs="Times New Roman"/>
          <w:sz w:val="24"/>
          <w:szCs w:val="24"/>
          <w:lang w:val="en-GB"/>
        </w:rPr>
        <w:t xml:space="preserve">ocus on </w:t>
      </w:r>
      <w:r w:rsidR="00A77E5C" w:rsidRPr="003778C4">
        <w:rPr>
          <w:rFonts w:cs="Times New Roman"/>
          <w:sz w:val="24"/>
          <w:szCs w:val="24"/>
          <w:lang w:val="en-GB"/>
        </w:rPr>
        <w:t>l</w:t>
      </w:r>
      <w:r w:rsidR="009A2F2C" w:rsidRPr="003778C4">
        <w:rPr>
          <w:rFonts w:cs="Times New Roman"/>
          <w:sz w:val="24"/>
          <w:szCs w:val="24"/>
          <w:lang w:val="en-GB"/>
        </w:rPr>
        <w:t xml:space="preserve">iteracy </w:t>
      </w:r>
      <w:r w:rsidR="00A77E5C" w:rsidRPr="003778C4">
        <w:rPr>
          <w:rFonts w:cs="Times New Roman"/>
          <w:sz w:val="24"/>
          <w:szCs w:val="24"/>
          <w:lang w:val="en-GB"/>
        </w:rPr>
        <w:t>p</w:t>
      </w:r>
      <w:r w:rsidR="009A2F2C" w:rsidRPr="003778C4">
        <w:rPr>
          <w:rFonts w:cs="Times New Roman"/>
          <w:sz w:val="24"/>
          <w:szCs w:val="24"/>
          <w:lang w:val="en-GB"/>
        </w:rPr>
        <w:t xml:space="preserve">ractices; </w:t>
      </w:r>
      <w:r w:rsidR="002C028C" w:rsidRPr="003778C4">
        <w:rPr>
          <w:rFonts w:cs="Times New Roman"/>
          <w:sz w:val="24"/>
          <w:szCs w:val="24"/>
          <w:lang w:val="en-GB"/>
        </w:rPr>
        <w:t>in M. Hamilton, B. Maddox</w:t>
      </w:r>
      <w:r w:rsidR="00A77E5C" w:rsidRPr="003778C4">
        <w:rPr>
          <w:rFonts w:cs="Times New Roman"/>
          <w:sz w:val="24"/>
          <w:szCs w:val="24"/>
          <w:lang w:val="en-GB"/>
        </w:rPr>
        <w:t>,</w:t>
      </w:r>
      <w:r w:rsidR="002C028C" w:rsidRPr="003778C4">
        <w:rPr>
          <w:rFonts w:cs="Times New Roman"/>
          <w:sz w:val="24"/>
          <w:szCs w:val="24"/>
          <w:lang w:val="en-GB"/>
        </w:rPr>
        <w:t xml:space="preserve"> </w:t>
      </w:r>
      <w:r w:rsidR="00A77E5C" w:rsidRPr="003778C4">
        <w:rPr>
          <w:rFonts w:cs="Times New Roman"/>
          <w:sz w:val="24"/>
          <w:szCs w:val="24"/>
          <w:lang w:val="en-GB"/>
        </w:rPr>
        <w:t>&amp;</w:t>
      </w:r>
      <w:r w:rsidR="002C028C" w:rsidRPr="003778C4">
        <w:rPr>
          <w:rFonts w:cs="Times New Roman"/>
          <w:sz w:val="24"/>
          <w:szCs w:val="24"/>
          <w:lang w:val="en-GB"/>
        </w:rPr>
        <w:t xml:space="preserve"> C. </w:t>
      </w:r>
      <w:proofErr w:type="spellStart"/>
      <w:r w:rsidR="002C028C" w:rsidRPr="003778C4">
        <w:rPr>
          <w:rFonts w:cs="Times New Roman"/>
          <w:sz w:val="24"/>
          <w:szCs w:val="24"/>
          <w:lang w:val="en-GB"/>
        </w:rPr>
        <w:t>Addey</w:t>
      </w:r>
      <w:proofErr w:type="spellEnd"/>
      <w:r w:rsidR="002C028C" w:rsidRPr="003778C4">
        <w:rPr>
          <w:rFonts w:cs="Times New Roman"/>
          <w:sz w:val="24"/>
          <w:szCs w:val="24"/>
          <w:lang w:val="en-GB"/>
        </w:rPr>
        <w:t xml:space="preserve"> (Eds.), </w:t>
      </w:r>
      <w:r w:rsidR="002C028C" w:rsidRPr="003778C4">
        <w:rPr>
          <w:rFonts w:cs="Times New Roman"/>
          <w:i/>
          <w:sz w:val="24"/>
          <w:szCs w:val="24"/>
          <w:lang w:val="en-GB"/>
        </w:rPr>
        <w:t>Literacy as Numbers: Researching the Politics and Practices of International Literacy Assessment</w:t>
      </w:r>
      <w:r w:rsidR="00FE6E57" w:rsidRPr="003778C4">
        <w:rPr>
          <w:rFonts w:cs="Times New Roman"/>
          <w:sz w:val="24"/>
          <w:szCs w:val="24"/>
          <w:lang w:val="en-GB"/>
        </w:rPr>
        <w:t xml:space="preserve"> (pp. 93-110).</w:t>
      </w:r>
      <w:proofErr w:type="gramEnd"/>
      <w:r w:rsidR="002C028C" w:rsidRPr="003778C4">
        <w:rPr>
          <w:rFonts w:cs="Times New Roman"/>
          <w:sz w:val="24"/>
          <w:szCs w:val="24"/>
          <w:lang w:val="en-GB"/>
        </w:rPr>
        <w:t xml:space="preserve"> Cambridge</w:t>
      </w:r>
      <w:r w:rsidR="00A83491" w:rsidRPr="003778C4">
        <w:rPr>
          <w:rFonts w:cs="Times New Roman"/>
          <w:sz w:val="24"/>
          <w:szCs w:val="24"/>
          <w:lang w:val="en-GB"/>
        </w:rPr>
        <w:t>: Cambridge University Press</w:t>
      </w:r>
      <w:r w:rsidR="002C028C" w:rsidRPr="003778C4">
        <w:rPr>
          <w:rFonts w:cs="Times New Roman"/>
          <w:sz w:val="24"/>
          <w:szCs w:val="24"/>
          <w:lang w:val="en-GB"/>
        </w:rPr>
        <w:t>.</w:t>
      </w:r>
    </w:p>
    <w:p w:rsidR="00FF4D9B" w:rsidRPr="003778C4" w:rsidRDefault="00FF4D9B"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E</w:t>
      </w:r>
      <w:r w:rsidR="00A448BA" w:rsidRPr="003778C4">
        <w:rPr>
          <w:rFonts w:cs="Times New Roman"/>
          <w:sz w:val="24"/>
          <w:szCs w:val="24"/>
          <w:lang w:val="en-GB"/>
        </w:rPr>
        <w:t>U</w:t>
      </w:r>
      <w:r w:rsidRPr="003778C4">
        <w:rPr>
          <w:rFonts w:cs="Times New Roman"/>
          <w:sz w:val="24"/>
          <w:szCs w:val="24"/>
          <w:lang w:val="en-GB"/>
        </w:rPr>
        <w:t xml:space="preserve"> High Level Group of Experts on </w:t>
      </w:r>
      <w:r w:rsidR="00A448BA" w:rsidRPr="003778C4">
        <w:rPr>
          <w:rFonts w:cs="Times New Roman"/>
          <w:sz w:val="24"/>
          <w:szCs w:val="24"/>
          <w:lang w:val="en-GB"/>
        </w:rPr>
        <w:t>Lit</w:t>
      </w:r>
      <w:r w:rsidRPr="003778C4">
        <w:rPr>
          <w:rFonts w:cs="Times New Roman"/>
          <w:sz w:val="24"/>
          <w:szCs w:val="24"/>
          <w:lang w:val="en-GB"/>
        </w:rPr>
        <w:t>eracy (EU-HLG</w:t>
      </w:r>
      <w:r w:rsidR="00A448BA" w:rsidRPr="003778C4">
        <w:rPr>
          <w:rFonts w:cs="Times New Roman"/>
          <w:sz w:val="24"/>
          <w:szCs w:val="24"/>
          <w:lang w:val="en-GB"/>
        </w:rPr>
        <w:t>)</w:t>
      </w:r>
      <w:r w:rsidRPr="003778C4">
        <w:rPr>
          <w:rFonts w:cs="Times New Roman"/>
          <w:sz w:val="24"/>
          <w:szCs w:val="24"/>
          <w:lang w:val="en-GB"/>
        </w:rPr>
        <w:t xml:space="preserve"> </w:t>
      </w:r>
      <w:r w:rsidR="00A448BA" w:rsidRPr="003778C4">
        <w:rPr>
          <w:rFonts w:cs="Times New Roman"/>
          <w:sz w:val="24"/>
          <w:szCs w:val="24"/>
          <w:lang w:val="en-GB"/>
        </w:rPr>
        <w:t>(</w:t>
      </w:r>
      <w:r w:rsidRPr="003778C4">
        <w:rPr>
          <w:rFonts w:cs="Times New Roman"/>
          <w:sz w:val="24"/>
          <w:szCs w:val="24"/>
          <w:lang w:val="en-GB"/>
        </w:rPr>
        <w:t>2012)</w:t>
      </w:r>
      <w:r w:rsidR="00A448BA" w:rsidRPr="003778C4">
        <w:rPr>
          <w:rFonts w:cs="Times New Roman"/>
          <w:sz w:val="24"/>
          <w:szCs w:val="24"/>
          <w:lang w:val="en-GB"/>
        </w:rPr>
        <w:t>.</w:t>
      </w:r>
      <w:proofErr w:type="gramEnd"/>
      <w:r w:rsidR="00A448BA" w:rsidRPr="003778C4">
        <w:rPr>
          <w:rFonts w:cs="Times New Roman"/>
          <w:sz w:val="24"/>
          <w:szCs w:val="24"/>
          <w:lang w:val="en-GB"/>
        </w:rPr>
        <w:t xml:space="preserve"> </w:t>
      </w:r>
      <w:r w:rsidR="00A448BA" w:rsidRPr="003778C4">
        <w:rPr>
          <w:rFonts w:cs="Times New Roman"/>
          <w:i/>
          <w:sz w:val="24"/>
          <w:szCs w:val="24"/>
          <w:lang w:val="en-GB"/>
        </w:rPr>
        <w:t>Act Now! Final Report: EU High Level Group of Experts on Literacy</w:t>
      </w:r>
      <w:r w:rsidR="00A448BA" w:rsidRPr="003778C4">
        <w:rPr>
          <w:rFonts w:cs="Times New Roman"/>
          <w:sz w:val="24"/>
          <w:szCs w:val="24"/>
          <w:lang w:val="en-GB"/>
        </w:rPr>
        <w:t xml:space="preserve">. Luxembourg: EU. </w:t>
      </w:r>
    </w:p>
    <w:p w:rsidR="002C028C" w:rsidRPr="003778C4" w:rsidRDefault="002C028C"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t xml:space="preserve">Evans, J. </w:t>
      </w:r>
      <w:r w:rsidR="00970531" w:rsidRPr="003778C4">
        <w:rPr>
          <w:rFonts w:cs="Times New Roman"/>
          <w:sz w:val="24"/>
          <w:szCs w:val="24"/>
          <w:lang w:val="en-GB"/>
        </w:rPr>
        <w:t>(</w:t>
      </w:r>
      <w:r w:rsidRPr="003778C4">
        <w:rPr>
          <w:rFonts w:cs="Times New Roman"/>
          <w:sz w:val="24"/>
          <w:szCs w:val="24"/>
          <w:lang w:val="en-GB"/>
        </w:rPr>
        <w:t>2015</w:t>
      </w:r>
      <w:r w:rsidR="00970531" w:rsidRPr="003778C4">
        <w:rPr>
          <w:rFonts w:cs="Times New Roman"/>
          <w:sz w:val="24"/>
          <w:szCs w:val="24"/>
          <w:lang w:val="en-GB"/>
        </w:rPr>
        <w:t>).</w:t>
      </w:r>
      <w:r w:rsidRPr="003778C4">
        <w:rPr>
          <w:rFonts w:cs="Times New Roman"/>
          <w:sz w:val="24"/>
          <w:szCs w:val="24"/>
          <w:lang w:val="en-GB"/>
        </w:rPr>
        <w:t xml:space="preserve"> Interpreting International Surveys of Adult Skills: Methodological and Policy-related Issues; in M. Hamilton, B. Maddox and C. </w:t>
      </w:r>
      <w:proofErr w:type="spellStart"/>
      <w:r w:rsidRPr="003778C4">
        <w:rPr>
          <w:rFonts w:cs="Times New Roman"/>
          <w:sz w:val="24"/>
          <w:szCs w:val="24"/>
          <w:lang w:val="en-GB"/>
        </w:rPr>
        <w:t>Addey</w:t>
      </w:r>
      <w:proofErr w:type="spellEnd"/>
      <w:r w:rsidRPr="003778C4">
        <w:rPr>
          <w:rFonts w:cs="Times New Roman"/>
          <w:sz w:val="24"/>
          <w:szCs w:val="24"/>
          <w:lang w:val="en-GB"/>
        </w:rPr>
        <w:t xml:space="preserve"> (Eds.), </w:t>
      </w:r>
      <w:r w:rsidRPr="003778C4">
        <w:rPr>
          <w:rFonts w:cs="Times New Roman"/>
          <w:i/>
          <w:sz w:val="24"/>
          <w:szCs w:val="24"/>
          <w:lang w:val="en-GB"/>
        </w:rPr>
        <w:t>Literacy as Numbers: Researching the Politics and Practices of In</w:t>
      </w:r>
      <w:r w:rsidR="00541B82" w:rsidRPr="003778C4">
        <w:rPr>
          <w:rFonts w:cs="Times New Roman"/>
          <w:i/>
          <w:sz w:val="24"/>
          <w:szCs w:val="24"/>
          <w:lang w:val="en-GB"/>
        </w:rPr>
        <w:t>ternational Literacy Assessment</w:t>
      </w:r>
      <w:r w:rsidRPr="003778C4">
        <w:rPr>
          <w:rFonts w:cs="Times New Roman"/>
          <w:sz w:val="24"/>
          <w:szCs w:val="24"/>
          <w:lang w:val="en-GB"/>
        </w:rPr>
        <w:t xml:space="preserve"> </w:t>
      </w:r>
      <w:r w:rsidR="00A83491" w:rsidRPr="003778C4">
        <w:rPr>
          <w:rFonts w:cs="Times New Roman"/>
          <w:sz w:val="24"/>
          <w:szCs w:val="24"/>
          <w:lang w:val="en-GB"/>
        </w:rPr>
        <w:t xml:space="preserve">(pp. 3-72). Cambridge: </w:t>
      </w:r>
      <w:r w:rsidRPr="003778C4">
        <w:rPr>
          <w:rFonts w:cs="Times New Roman"/>
          <w:sz w:val="24"/>
          <w:szCs w:val="24"/>
          <w:lang w:val="en-GB"/>
        </w:rPr>
        <w:t>Cambridge University Press</w:t>
      </w:r>
    </w:p>
    <w:p w:rsidR="007B4A5B" w:rsidRPr="003778C4" w:rsidRDefault="007B4A5B"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Evans, J., Wedege, T., &amp; Yasukawa, K. (2013).</w:t>
      </w:r>
      <w:proofErr w:type="gramEnd"/>
      <w:r w:rsidRPr="003778C4">
        <w:rPr>
          <w:rFonts w:cs="Times New Roman"/>
          <w:sz w:val="24"/>
          <w:szCs w:val="24"/>
          <w:lang w:val="en-GB"/>
        </w:rPr>
        <w:t xml:space="preserve"> </w:t>
      </w:r>
      <w:proofErr w:type="gramStart"/>
      <w:r w:rsidRPr="003778C4">
        <w:rPr>
          <w:rFonts w:cs="Times New Roman"/>
          <w:sz w:val="24"/>
          <w:szCs w:val="24"/>
          <w:lang w:val="en-GB"/>
        </w:rPr>
        <w:t>Critical Perspectives on Adults' Mathematics Education.</w:t>
      </w:r>
      <w:proofErr w:type="gramEnd"/>
      <w:r w:rsidRPr="003778C4">
        <w:rPr>
          <w:rFonts w:cs="Times New Roman"/>
          <w:sz w:val="24"/>
          <w:szCs w:val="24"/>
          <w:lang w:val="en-GB"/>
        </w:rPr>
        <w:t xml:space="preserve"> </w:t>
      </w:r>
      <w:proofErr w:type="gramStart"/>
      <w:r w:rsidRPr="003778C4">
        <w:rPr>
          <w:rFonts w:cs="Times New Roman"/>
          <w:sz w:val="24"/>
          <w:szCs w:val="24"/>
          <w:lang w:val="en-GB"/>
        </w:rPr>
        <w:t>In M. A. Clements, A. J.</w:t>
      </w:r>
      <w:proofErr w:type="gramEnd"/>
      <w:r w:rsidRPr="003778C4">
        <w:rPr>
          <w:rFonts w:cs="Times New Roman"/>
          <w:sz w:val="24"/>
          <w:szCs w:val="24"/>
          <w:lang w:val="en-GB"/>
        </w:rPr>
        <w:t xml:space="preserve">  Bishop, C. Keitel, J. Kilpatrick, &amp; F. S. K. Leung, F.K.S. (Eds.) </w:t>
      </w:r>
      <w:r w:rsidRPr="003778C4">
        <w:rPr>
          <w:rFonts w:cs="Times New Roman"/>
          <w:i/>
          <w:sz w:val="24"/>
          <w:szCs w:val="24"/>
          <w:lang w:val="en-GB"/>
        </w:rPr>
        <w:t>Third International Handbook of Mathematics Education</w:t>
      </w:r>
      <w:r w:rsidRPr="003778C4">
        <w:rPr>
          <w:rFonts w:cs="Times New Roman"/>
          <w:sz w:val="24"/>
          <w:szCs w:val="24"/>
          <w:lang w:val="en-GB"/>
        </w:rPr>
        <w:t>, (</w:t>
      </w:r>
      <w:r w:rsidR="00A83491" w:rsidRPr="003778C4">
        <w:rPr>
          <w:rFonts w:cs="Times New Roman"/>
          <w:sz w:val="24"/>
          <w:szCs w:val="24"/>
          <w:lang w:val="en-GB"/>
        </w:rPr>
        <w:t xml:space="preserve">pp. </w:t>
      </w:r>
      <w:r w:rsidR="006D507A" w:rsidRPr="003778C4">
        <w:rPr>
          <w:rFonts w:cs="Times New Roman"/>
          <w:sz w:val="24"/>
          <w:szCs w:val="24"/>
          <w:lang w:val="en-GB"/>
        </w:rPr>
        <w:t>203-242).</w:t>
      </w:r>
      <w:r w:rsidRPr="003778C4">
        <w:rPr>
          <w:rFonts w:cs="Times New Roman"/>
          <w:sz w:val="24"/>
          <w:szCs w:val="24"/>
          <w:lang w:val="en-GB"/>
        </w:rPr>
        <w:t xml:space="preserve"> </w:t>
      </w:r>
      <w:r w:rsidR="006D507A" w:rsidRPr="003778C4">
        <w:rPr>
          <w:rFonts w:cs="Times New Roman"/>
          <w:sz w:val="24"/>
          <w:szCs w:val="24"/>
          <w:lang w:val="en-GB"/>
        </w:rPr>
        <w:t xml:space="preserve">New York: </w:t>
      </w:r>
      <w:r w:rsidRPr="003778C4">
        <w:rPr>
          <w:rFonts w:cs="Times New Roman"/>
          <w:sz w:val="24"/>
          <w:szCs w:val="24"/>
          <w:lang w:val="en-GB"/>
        </w:rPr>
        <w:t>Springer</w:t>
      </w:r>
      <w:r w:rsidR="006D507A" w:rsidRPr="003778C4">
        <w:rPr>
          <w:rFonts w:cs="Times New Roman"/>
          <w:sz w:val="24"/>
          <w:szCs w:val="24"/>
          <w:lang w:val="en-GB"/>
        </w:rPr>
        <w:t>.</w:t>
      </w:r>
    </w:p>
    <w:p w:rsidR="00A22085" w:rsidRPr="003778C4" w:rsidRDefault="00A22085"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Evans, J.,</w:t>
      </w:r>
      <w:r w:rsidR="00CF5C7F" w:rsidRPr="003778C4">
        <w:rPr>
          <w:rFonts w:cs="Times New Roman"/>
          <w:sz w:val="24"/>
          <w:szCs w:val="24"/>
          <w:lang w:val="en-GB"/>
        </w:rPr>
        <w:t xml:space="preserve"> </w:t>
      </w:r>
      <w:r w:rsidRPr="003778C4">
        <w:rPr>
          <w:rFonts w:cs="Times New Roman"/>
          <w:sz w:val="24"/>
          <w:szCs w:val="24"/>
          <w:lang w:val="en-GB"/>
        </w:rPr>
        <w:t xml:space="preserve">Yasukawa, K., Mallows, D. &amp; </w:t>
      </w:r>
      <w:proofErr w:type="spellStart"/>
      <w:r w:rsidRPr="003778C4">
        <w:rPr>
          <w:rFonts w:cs="Times New Roman"/>
          <w:sz w:val="24"/>
          <w:szCs w:val="24"/>
          <w:lang w:val="en-GB"/>
        </w:rPr>
        <w:t>Creese</w:t>
      </w:r>
      <w:proofErr w:type="spellEnd"/>
      <w:r w:rsidRPr="003778C4">
        <w:rPr>
          <w:rFonts w:cs="Times New Roman"/>
          <w:sz w:val="24"/>
          <w:szCs w:val="24"/>
          <w:lang w:val="en-GB"/>
        </w:rPr>
        <w:t>, B. (2016).</w:t>
      </w:r>
      <w:proofErr w:type="gramEnd"/>
      <w:r w:rsidRPr="003778C4">
        <w:rPr>
          <w:rFonts w:cs="Times New Roman"/>
          <w:sz w:val="24"/>
          <w:szCs w:val="24"/>
          <w:lang w:val="en-GB"/>
        </w:rPr>
        <w:t xml:space="preserve"> </w:t>
      </w:r>
      <w:r w:rsidRPr="003778C4">
        <w:rPr>
          <w:rFonts w:cs="Times New Roman"/>
          <w:bCs/>
          <w:sz w:val="24"/>
          <w:szCs w:val="24"/>
          <w:lang w:val="de-DE"/>
        </w:rPr>
        <w:t xml:space="preserve">Numeracy Skills and the Numerate Environment: Opportunities, Supports, Demands. Paper at </w:t>
      </w:r>
      <w:r w:rsidRPr="003778C4">
        <w:rPr>
          <w:rFonts w:cs="Times New Roman"/>
          <w:bCs/>
          <w:sz w:val="24"/>
          <w:szCs w:val="24"/>
          <w:lang w:val="en-GB"/>
        </w:rPr>
        <w:t xml:space="preserve">ALM-23 (Adults Learning Maths Research Forum), University of </w:t>
      </w:r>
      <w:proofErr w:type="spellStart"/>
      <w:r w:rsidRPr="003778C4">
        <w:rPr>
          <w:rFonts w:cs="Times New Roman"/>
          <w:bCs/>
          <w:sz w:val="24"/>
          <w:szCs w:val="24"/>
          <w:lang w:val="en-GB"/>
        </w:rPr>
        <w:t>Maynooth</w:t>
      </w:r>
      <w:proofErr w:type="spellEnd"/>
      <w:r w:rsidRPr="003778C4">
        <w:rPr>
          <w:rFonts w:cs="Times New Roman"/>
          <w:bCs/>
          <w:sz w:val="24"/>
          <w:szCs w:val="24"/>
          <w:lang w:val="en-GB"/>
        </w:rPr>
        <w:t>, Ireland, 3-6 July 2016.</w:t>
      </w:r>
    </w:p>
    <w:p w:rsidR="006D27FF" w:rsidRPr="003778C4" w:rsidRDefault="006D27FF"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t>Farrell, L. (2013). What research has been</w:t>
      </w:r>
      <w:r w:rsidR="00970531" w:rsidRPr="003778C4">
        <w:rPr>
          <w:rFonts w:cs="Times New Roman"/>
          <w:sz w:val="24"/>
          <w:szCs w:val="24"/>
          <w:lang w:val="en-GB"/>
        </w:rPr>
        <w:t xml:space="preserve"> </w:t>
      </w:r>
      <w:r w:rsidRPr="003778C4">
        <w:rPr>
          <w:rFonts w:cs="Times New Roman"/>
          <w:sz w:val="24"/>
          <w:szCs w:val="24"/>
          <w:lang w:val="en-GB"/>
        </w:rPr>
        <w:t>/ is being undertaken in adult literacy and numeracy and by whom and wh</w:t>
      </w:r>
      <w:r w:rsidR="00970531" w:rsidRPr="003778C4">
        <w:rPr>
          <w:rFonts w:cs="Times New Roman"/>
          <w:sz w:val="24"/>
          <w:szCs w:val="24"/>
          <w:lang w:val="en-GB"/>
        </w:rPr>
        <w:t>y: internationally and locally?</w:t>
      </w:r>
      <w:r w:rsidRPr="003778C4">
        <w:rPr>
          <w:rFonts w:cs="Times New Roman"/>
          <w:sz w:val="24"/>
          <w:szCs w:val="24"/>
          <w:lang w:val="en-GB"/>
        </w:rPr>
        <w:t xml:space="preserve"> </w:t>
      </w:r>
      <w:r w:rsidRPr="003778C4">
        <w:rPr>
          <w:rFonts w:cs="Times New Roman"/>
          <w:i/>
          <w:sz w:val="24"/>
          <w:szCs w:val="24"/>
          <w:lang w:val="en-GB"/>
        </w:rPr>
        <w:t>Literacy and Numeracy Studies</w:t>
      </w:r>
      <w:r w:rsidRPr="003778C4">
        <w:rPr>
          <w:rFonts w:cs="Times New Roman"/>
          <w:sz w:val="24"/>
          <w:szCs w:val="24"/>
          <w:lang w:val="en-GB"/>
        </w:rPr>
        <w:t>, 22(1), 59-69.</w:t>
      </w:r>
    </w:p>
    <w:p w:rsidR="007B0E0B" w:rsidRPr="003778C4" w:rsidRDefault="007B0E0B"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Geiger, V., Goos, M., &amp; Forgasz, H. (2015).</w:t>
      </w:r>
      <w:proofErr w:type="gramEnd"/>
      <w:r w:rsidRPr="003778C4">
        <w:rPr>
          <w:rFonts w:cs="Times New Roman"/>
          <w:sz w:val="24"/>
          <w:szCs w:val="24"/>
          <w:lang w:val="en-GB"/>
        </w:rPr>
        <w:t xml:space="preserve"> A rich interpretation of numeracy for the 21</w:t>
      </w:r>
      <w:r w:rsidRPr="003778C4">
        <w:rPr>
          <w:rFonts w:cs="Times New Roman"/>
          <w:sz w:val="24"/>
          <w:szCs w:val="24"/>
          <w:vertAlign w:val="superscript"/>
          <w:lang w:val="en-GB"/>
        </w:rPr>
        <w:t>st</w:t>
      </w:r>
      <w:r w:rsidRPr="003778C4">
        <w:rPr>
          <w:rFonts w:cs="Times New Roman"/>
          <w:sz w:val="24"/>
          <w:szCs w:val="24"/>
          <w:lang w:val="en-GB"/>
        </w:rPr>
        <w:t xml:space="preserve"> century: A survey of the state of the field. </w:t>
      </w:r>
      <w:r w:rsidRPr="003778C4">
        <w:rPr>
          <w:rFonts w:cs="Times New Roman"/>
          <w:i/>
          <w:sz w:val="24"/>
          <w:szCs w:val="24"/>
          <w:lang w:val="en-GB"/>
        </w:rPr>
        <w:t>ZDM Mathematics Education</w:t>
      </w:r>
      <w:r w:rsidRPr="003778C4">
        <w:rPr>
          <w:rFonts w:cs="Times New Roman"/>
          <w:sz w:val="24"/>
          <w:szCs w:val="24"/>
          <w:lang w:val="en-GB"/>
        </w:rPr>
        <w:t>, 47(4), 531-548.</w:t>
      </w:r>
    </w:p>
    <w:p w:rsidR="00310DF2" w:rsidRPr="003778C4" w:rsidRDefault="00310DF2" w:rsidP="00895047">
      <w:pPr>
        <w:pStyle w:val="ICMEReferences"/>
        <w:spacing w:after="0" w:line="240" w:lineRule="auto"/>
        <w:ind w:left="709" w:hanging="709"/>
        <w:rPr>
          <w:rFonts w:cs="Times New Roman"/>
          <w:sz w:val="24"/>
          <w:szCs w:val="24"/>
          <w:lang w:val="en-GB"/>
        </w:rPr>
      </w:pPr>
      <w:proofErr w:type="spellStart"/>
      <w:proofErr w:type="gramStart"/>
      <w:r w:rsidRPr="003778C4">
        <w:rPr>
          <w:rFonts w:cs="Times New Roman"/>
          <w:sz w:val="24"/>
          <w:szCs w:val="24"/>
          <w:lang w:val="en-GB"/>
        </w:rPr>
        <w:t>Gilens</w:t>
      </w:r>
      <w:proofErr w:type="spellEnd"/>
      <w:r w:rsidRPr="003778C4">
        <w:rPr>
          <w:rFonts w:cs="Times New Roman"/>
          <w:sz w:val="24"/>
          <w:szCs w:val="24"/>
          <w:lang w:val="en-GB"/>
        </w:rPr>
        <w:t>, M. &amp; Page, B. I. (2014).</w:t>
      </w:r>
      <w:proofErr w:type="gramEnd"/>
      <w:r w:rsidRPr="003778C4">
        <w:rPr>
          <w:rFonts w:cs="Times New Roman"/>
          <w:sz w:val="24"/>
          <w:szCs w:val="24"/>
          <w:lang w:val="en-GB"/>
        </w:rPr>
        <w:t xml:space="preserve"> </w:t>
      </w:r>
      <w:proofErr w:type="gramStart"/>
      <w:r w:rsidRPr="003778C4">
        <w:rPr>
          <w:rFonts w:cs="Times New Roman"/>
          <w:sz w:val="24"/>
          <w:szCs w:val="24"/>
          <w:lang w:val="en-GB"/>
        </w:rPr>
        <w:t>Testing Theories of American Politics: Elites, Interest Groups, and Average Citizens</w:t>
      </w:r>
      <w:r w:rsidR="00B10392" w:rsidRPr="003778C4">
        <w:rPr>
          <w:rFonts w:cs="Times New Roman"/>
          <w:sz w:val="24"/>
          <w:szCs w:val="24"/>
          <w:lang w:val="en-GB"/>
        </w:rPr>
        <w:t>.</w:t>
      </w:r>
      <w:proofErr w:type="gramEnd"/>
      <w:r w:rsidRPr="003778C4">
        <w:rPr>
          <w:rFonts w:cs="Times New Roman"/>
          <w:sz w:val="24"/>
          <w:szCs w:val="24"/>
          <w:lang w:val="en-GB"/>
        </w:rPr>
        <w:t xml:space="preserve"> </w:t>
      </w:r>
      <w:proofErr w:type="gramStart"/>
      <w:r w:rsidRPr="003778C4">
        <w:rPr>
          <w:rFonts w:cs="Times New Roman"/>
          <w:i/>
          <w:sz w:val="24"/>
          <w:szCs w:val="24"/>
          <w:lang w:val="en-GB"/>
        </w:rPr>
        <w:t>P</w:t>
      </w:r>
      <w:r w:rsidR="00B10392" w:rsidRPr="003778C4">
        <w:rPr>
          <w:rFonts w:cs="Times New Roman"/>
          <w:i/>
          <w:sz w:val="24"/>
          <w:szCs w:val="24"/>
          <w:lang w:val="en-GB"/>
        </w:rPr>
        <w:t xml:space="preserve">erspectives on Politics, </w:t>
      </w:r>
      <w:r w:rsidR="00B10392" w:rsidRPr="003778C4">
        <w:rPr>
          <w:rFonts w:cs="Times New Roman"/>
          <w:sz w:val="24"/>
          <w:szCs w:val="24"/>
          <w:lang w:val="en-GB"/>
        </w:rPr>
        <w:t>12 (3), Sept., 564-581.</w:t>
      </w:r>
      <w:proofErr w:type="gramEnd"/>
    </w:p>
    <w:p w:rsidR="00A448BA" w:rsidRPr="003778C4" w:rsidRDefault="00A448BA" w:rsidP="00895047">
      <w:pPr>
        <w:pStyle w:val="ICMEReferences"/>
        <w:spacing w:after="0" w:line="240" w:lineRule="auto"/>
        <w:ind w:left="709" w:hanging="709"/>
        <w:rPr>
          <w:rFonts w:cs="Times New Roman"/>
          <w:bCs/>
          <w:sz w:val="24"/>
          <w:szCs w:val="24"/>
          <w:lang w:val="en-GB"/>
        </w:rPr>
      </w:pPr>
      <w:proofErr w:type="spellStart"/>
      <w:proofErr w:type="gramStart"/>
      <w:r w:rsidRPr="003778C4">
        <w:rPr>
          <w:rFonts w:cs="Times New Roman"/>
          <w:bCs/>
          <w:sz w:val="24"/>
          <w:szCs w:val="24"/>
          <w:lang w:val="en-GB"/>
        </w:rPr>
        <w:t>Grek</w:t>
      </w:r>
      <w:proofErr w:type="spellEnd"/>
      <w:r w:rsidRPr="003778C4">
        <w:rPr>
          <w:rFonts w:cs="Times New Roman"/>
          <w:bCs/>
          <w:sz w:val="24"/>
          <w:szCs w:val="24"/>
          <w:lang w:val="en-GB"/>
        </w:rPr>
        <w:t>, S. (2010).</w:t>
      </w:r>
      <w:proofErr w:type="gramEnd"/>
      <w:r w:rsidRPr="003778C4">
        <w:rPr>
          <w:rFonts w:cs="Times New Roman"/>
          <w:bCs/>
          <w:sz w:val="24"/>
          <w:szCs w:val="24"/>
          <w:lang w:val="en-GB"/>
        </w:rPr>
        <w:t xml:space="preserve"> International Organisations and the shared construction of policy ‘problems’: </w:t>
      </w:r>
      <w:proofErr w:type="spellStart"/>
      <w:r w:rsidRPr="003778C4">
        <w:rPr>
          <w:rFonts w:cs="Times New Roman"/>
          <w:bCs/>
          <w:sz w:val="24"/>
          <w:szCs w:val="24"/>
          <w:lang w:val="en-GB"/>
        </w:rPr>
        <w:t>problematisation</w:t>
      </w:r>
      <w:proofErr w:type="spellEnd"/>
      <w:r w:rsidRPr="003778C4">
        <w:rPr>
          <w:rFonts w:cs="Times New Roman"/>
          <w:bCs/>
          <w:sz w:val="24"/>
          <w:szCs w:val="24"/>
          <w:lang w:val="en-GB"/>
        </w:rPr>
        <w:t xml:space="preserve"> and change in education governance in Europe.</w:t>
      </w:r>
      <w:r w:rsidR="006B29C2" w:rsidRPr="003778C4">
        <w:rPr>
          <w:rFonts w:cs="Times New Roman"/>
          <w:bCs/>
          <w:sz w:val="24"/>
          <w:szCs w:val="24"/>
          <w:lang w:val="en-GB"/>
        </w:rPr>
        <w:t xml:space="preserve"> </w:t>
      </w:r>
      <w:r w:rsidR="006B29C2" w:rsidRPr="003778C4">
        <w:rPr>
          <w:rFonts w:cs="Times New Roman"/>
          <w:bCs/>
          <w:i/>
          <w:sz w:val="24"/>
          <w:szCs w:val="24"/>
          <w:lang w:val="en-GB"/>
        </w:rPr>
        <w:t>E</w:t>
      </w:r>
      <w:r w:rsidR="00970531" w:rsidRPr="003778C4">
        <w:rPr>
          <w:rFonts w:cs="Times New Roman"/>
          <w:bCs/>
          <w:i/>
          <w:sz w:val="24"/>
          <w:szCs w:val="24"/>
          <w:lang w:val="en-GB"/>
        </w:rPr>
        <w:t xml:space="preserve">uropean </w:t>
      </w:r>
      <w:r w:rsidR="006B29C2" w:rsidRPr="003778C4">
        <w:rPr>
          <w:rFonts w:cs="Times New Roman"/>
          <w:bCs/>
          <w:i/>
          <w:sz w:val="24"/>
          <w:szCs w:val="24"/>
          <w:lang w:val="en-GB"/>
        </w:rPr>
        <w:t>E</w:t>
      </w:r>
      <w:r w:rsidR="00970531" w:rsidRPr="003778C4">
        <w:rPr>
          <w:rFonts w:cs="Times New Roman"/>
          <w:bCs/>
          <w:i/>
          <w:sz w:val="24"/>
          <w:szCs w:val="24"/>
          <w:lang w:val="en-GB"/>
        </w:rPr>
        <w:t xml:space="preserve">ducational </w:t>
      </w:r>
      <w:r w:rsidR="006B29C2" w:rsidRPr="003778C4">
        <w:rPr>
          <w:rFonts w:cs="Times New Roman"/>
          <w:bCs/>
          <w:i/>
          <w:sz w:val="24"/>
          <w:szCs w:val="24"/>
          <w:lang w:val="en-GB"/>
        </w:rPr>
        <w:t>R</w:t>
      </w:r>
      <w:r w:rsidR="00970531" w:rsidRPr="003778C4">
        <w:rPr>
          <w:rFonts w:cs="Times New Roman"/>
          <w:bCs/>
          <w:i/>
          <w:sz w:val="24"/>
          <w:szCs w:val="24"/>
          <w:lang w:val="en-GB"/>
        </w:rPr>
        <w:t xml:space="preserve">esearch </w:t>
      </w:r>
      <w:r w:rsidR="006B29C2" w:rsidRPr="003778C4">
        <w:rPr>
          <w:rFonts w:cs="Times New Roman"/>
          <w:bCs/>
          <w:i/>
          <w:sz w:val="24"/>
          <w:szCs w:val="24"/>
          <w:lang w:val="en-GB"/>
        </w:rPr>
        <w:t>J</w:t>
      </w:r>
      <w:r w:rsidR="00970531" w:rsidRPr="003778C4">
        <w:rPr>
          <w:rFonts w:cs="Times New Roman"/>
          <w:bCs/>
          <w:i/>
          <w:sz w:val="24"/>
          <w:szCs w:val="24"/>
          <w:lang w:val="en-GB"/>
        </w:rPr>
        <w:t>ournal</w:t>
      </w:r>
      <w:r w:rsidRPr="003778C4">
        <w:rPr>
          <w:rFonts w:cs="Times New Roman"/>
          <w:bCs/>
          <w:sz w:val="24"/>
          <w:szCs w:val="24"/>
          <w:lang w:val="en-GB"/>
        </w:rPr>
        <w:t xml:space="preserve">, </w:t>
      </w:r>
      <w:r w:rsidRPr="003778C4">
        <w:rPr>
          <w:rFonts w:cs="Times New Roman"/>
          <w:bCs/>
          <w:i/>
          <w:sz w:val="24"/>
          <w:szCs w:val="24"/>
          <w:lang w:val="en-GB"/>
        </w:rPr>
        <w:t>9</w:t>
      </w:r>
      <w:r w:rsidRPr="003778C4">
        <w:rPr>
          <w:rFonts w:cs="Times New Roman"/>
          <w:bCs/>
          <w:sz w:val="24"/>
          <w:szCs w:val="24"/>
          <w:lang w:val="en-GB"/>
        </w:rPr>
        <w:t>(3), 396-406.</w:t>
      </w:r>
    </w:p>
    <w:p w:rsidR="00497263" w:rsidRPr="003778C4" w:rsidRDefault="00497263"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 xml:space="preserve">Hamilton, M., Maddox, B., &amp; </w:t>
      </w:r>
      <w:proofErr w:type="spellStart"/>
      <w:r w:rsidRPr="003778C4">
        <w:rPr>
          <w:rFonts w:cs="Times New Roman"/>
          <w:sz w:val="24"/>
          <w:szCs w:val="24"/>
          <w:lang w:val="en-GB"/>
        </w:rPr>
        <w:t>Addey</w:t>
      </w:r>
      <w:proofErr w:type="spellEnd"/>
      <w:r w:rsidRPr="003778C4">
        <w:rPr>
          <w:rFonts w:cs="Times New Roman"/>
          <w:sz w:val="24"/>
          <w:szCs w:val="24"/>
          <w:lang w:val="en-GB"/>
        </w:rPr>
        <w:t>, C. (Eds.).</w:t>
      </w:r>
      <w:proofErr w:type="gramEnd"/>
      <w:r w:rsidRPr="003778C4">
        <w:rPr>
          <w:rFonts w:cs="Times New Roman"/>
          <w:sz w:val="24"/>
          <w:szCs w:val="24"/>
          <w:lang w:val="en-GB"/>
        </w:rPr>
        <w:t xml:space="preserve"> (2015</w:t>
      </w:r>
      <w:r w:rsidRPr="003778C4">
        <w:rPr>
          <w:rFonts w:cs="Times New Roman"/>
          <w:i/>
          <w:sz w:val="24"/>
          <w:szCs w:val="24"/>
          <w:lang w:val="en-GB"/>
        </w:rPr>
        <w:t>). Literacy as numbers: Researching the politics and practices of international literacy assessments</w:t>
      </w:r>
      <w:r w:rsidRPr="003778C4">
        <w:rPr>
          <w:rFonts w:cs="Times New Roman"/>
          <w:sz w:val="24"/>
          <w:szCs w:val="24"/>
          <w:lang w:val="en-GB"/>
        </w:rPr>
        <w:t>. Cambridge: Cambridge University Press.</w:t>
      </w:r>
    </w:p>
    <w:p w:rsidR="00BF4C62" w:rsidRPr="003778C4" w:rsidRDefault="00541B82"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lastRenderedPageBreak/>
        <w:t xml:space="preserve">* </w:t>
      </w:r>
      <w:r w:rsidR="00BF4C62" w:rsidRPr="003778C4">
        <w:rPr>
          <w:rFonts w:cs="Times New Roman"/>
          <w:sz w:val="24"/>
          <w:szCs w:val="24"/>
          <w:lang w:val="en-GB"/>
        </w:rPr>
        <w:t xml:space="preserve">Jablonka, E. </w:t>
      </w:r>
      <w:r w:rsidRPr="003778C4">
        <w:rPr>
          <w:rFonts w:cs="Times New Roman"/>
          <w:sz w:val="24"/>
          <w:szCs w:val="24"/>
          <w:lang w:val="en-GB"/>
        </w:rPr>
        <w:t>(</w:t>
      </w:r>
      <w:r w:rsidR="00BF4C62" w:rsidRPr="003778C4">
        <w:rPr>
          <w:rFonts w:cs="Times New Roman"/>
          <w:sz w:val="24"/>
          <w:szCs w:val="24"/>
          <w:lang w:val="en-GB"/>
        </w:rPr>
        <w:t>2015</w:t>
      </w:r>
      <w:r w:rsidRPr="003778C4">
        <w:rPr>
          <w:rFonts w:cs="Times New Roman"/>
          <w:sz w:val="24"/>
          <w:szCs w:val="24"/>
          <w:lang w:val="en-GB"/>
        </w:rPr>
        <w:t>).</w:t>
      </w:r>
      <w:r w:rsidR="00BF4C62" w:rsidRPr="003778C4">
        <w:rPr>
          <w:rFonts w:cs="Times New Roman"/>
          <w:sz w:val="24"/>
          <w:szCs w:val="24"/>
          <w:lang w:val="en-GB"/>
        </w:rPr>
        <w:t xml:space="preserve"> </w:t>
      </w:r>
      <w:proofErr w:type="gramStart"/>
      <w:r w:rsidR="00BF4C62" w:rsidRPr="003778C4">
        <w:rPr>
          <w:rFonts w:cs="Times New Roman"/>
          <w:sz w:val="24"/>
          <w:szCs w:val="24"/>
          <w:lang w:val="en-GB"/>
        </w:rPr>
        <w:t>The evolvement of numeracy and mathematical literacy curricula and the construction of hierarchies of numerate or mathematically literate subjects</w:t>
      </w:r>
      <w:r w:rsidR="00FE6E57" w:rsidRPr="003778C4">
        <w:rPr>
          <w:rFonts w:cs="Times New Roman"/>
          <w:sz w:val="24"/>
          <w:szCs w:val="24"/>
          <w:lang w:val="en-GB"/>
        </w:rPr>
        <w:t>.</w:t>
      </w:r>
      <w:proofErr w:type="gramEnd"/>
      <w:r w:rsidR="00BF4C62" w:rsidRPr="003778C4">
        <w:rPr>
          <w:rFonts w:cs="Times New Roman"/>
          <w:sz w:val="24"/>
          <w:szCs w:val="24"/>
          <w:lang w:val="en-GB"/>
        </w:rPr>
        <w:t xml:space="preserve"> </w:t>
      </w:r>
      <w:r w:rsidR="00BF4C62" w:rsidRPr="003778C4">
        <w:rPr>
          <w:rFonts w:cs="Times New Roman"/>
          <w:i/>
          <w:sz w:val="24"/>
          <w:szCs w:val="24"/>
          <w:lang w:val="en-GB"/>
        </w:rPr>
        <w:t>ZDM Mathematics Education</w:t>
      </w:r>
      <w:r w:rsidR="00BF4C62" w:rsidRPr="003778C4">
        <w:rPr>
          <w:rFonts w:cs="Times New Roman"/>
          <w:sz w:val="24"/>
          <w:szCs w:val="24"/>
          <w:lang w:val="en-GB"/>
        </w:rPr>
        <w:t xml:space="preserve">, </w:t>
      </w:r>
      <w:r w:rsidR="007B0E0B" w:rsidRPr="003778C4">
        <w:rPr>
          <w:rFonts w:cs="Times New Roman"/>
          <w:sz w:val="24"/>
          <w:szCs w:val="24"/>
          <w:lang w:val="en-GB"/>
        </w:rPr>
        <w:t xml:space="preserve">47(4), 599-609, </w:t>
      </w:r>
      <w:r w:rsidR="00BF4C62" w:rsidRPr="003778C4">
        <w:rPr>
          <w:rFonts w:cs="Times New Roman"/>
          <w:sz w:val="24"/>
          <w:szCs w:val="24"/>
          <w:lang w:val="en-GB"/>
        </w:rPr>
        <w:t>DOI 10.1007/s11858-015-0691-6</w:t>
      </w:r>
    </w:p>
    <w:p w:rsidR="00FE6E57" w:rsidRPr="003778C4" w:rsidRDefault="00FE6E57"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Lawn, M., &amp; Lingard, B. (2002).</w:t>
      </w:r>
      <w:proofErr w:type="gramEnd"/>
      <w:r w:rsidRPr="003778C4">
        <w:rPr>
          <w:rFonts w:cs="Times New Roman"/>
          <w:sz w:val="24"/>
          <w:szCs w:val="24"/>
          <w:lang w:val="en-GB"/>
        </w:rPr>
        <w:t xml:space="preserve"> </w:t>
      </w:r>
      <w:proofErr w:type="gramStart"/>
      <w:r w:rsidRPr="003778C4">
        <w:rPr>
          <w:rFonts w:cs="Times New Roman"/>
          <w:sz w:val="24"/>
          <w:szCs w:val="24"/>
          <w:lang w:val="en-GB"/>
        </w:rPr>
        <w:t>Constructing a European Policy Space in Educational Governance: the role of transnational policy actors.</w:t>
      </w:r>
      <w:proofErr w:type="gramEnd"/>
      <w:r w:rsidRPr="003778C4">
        <w:rPr>
          <w:rStyle w:val="apple-converted-space"/>
          <w:rFonts w:cs="Times New Roman"/>
          <w:sz w:val="24"/>
          <w:szCs w:val="24"/>
          <w:lang w:val="en-GB"/>
        </w:rPr>
        <w:t> </w:t>
      </w:r>
      <w:r w:rsidRPr="003778C4">
        <w:rPr>
          <w:rFonts w:cs="Times New Roman"/>
          <w:i/>
          <w:sz w:val="24"/>
          <w:szCs w:val="24"/>
          <w:lang w:val="en-GB"/>
        </w:rPr>
        <w:t>European Educational Research Journal</w:t>
      </w:r>
      <w:r w:rsidRPr="003778C4">
        <w:rPr>
          <w:rFonts w:cs="Times New Roman"/>
          <w:sz w:val="24"/>
          <w:szCs w:val="24"/>
          <w:lang w:val="en-GB"/>
        </w:rPr>
        <w:t>,</w:t>
      </w:r>
      <w:r w:rsidRPr="003778C4">
        <w:rPr>
          <w:rStyle w:val="apple-converted-space"/>
          <w:rFonts w:cs="Times New Roman"/>
          <w:sz w:val="24"/>
          <w:szCs w:val="24"/>
          <w:lang w:val="en-GB"/>
        </w:rPr>
        <w:t> </w:t>
      </w:r>
      <w:r w:rsidRPr="003778C4">
        <w:rPr>
          <w:rFonts w:cs="Times New Roman"/>
          <w:sz w:val="24"/>
          <w:szCs w:val="24"/>
          <w:lang w:val="en-GB"/>
        </w:rPr>
        <w:t>1(2), 290-307.</w:t>
      </w:r>
      <w:r w:rsidRPr="003778C4" w:rsidDel="00FE6E57">
        <w:rPr>
          <w:rFonts w:cs="Times New Roman"/>
          <w:sz w:val="24"/>
          <w:szCs w:val="24"/>
          <w:lang w:val="en-GB"/>
        </w:rPr>
        <w:t xml:space="preserve"> </w:t>
      </w:r>
    </w:p>
    <w:p w:rsidR="00497263" w:rsidRPr="003778C4" w:rsidRDefault="00497263"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 xml:space="preserve">Meyer, H.-D., &amp; </w:t>
      </w:r>
      <w:proofErr w:type="spellStart"/>
      <w:r w:rsidRPr="003778C4">
        <w:rPr>
          <w:rFonts w:cs="Times New Roman"/>
          <w:sz w:val="24"/>
          <w:szCs w:val="24"/>
          <w:lang w:val="en-GB"/>
        </w:rPr>
        <w:t>Benavot</w:t>
      </w:r>
      <w:proofErr w:type="spellEnd"/>
      <w:r w:rsidRPr="003778C4">
        <w:rPr>
          <w:rFonts w:cs="Times New Roman"/>
          <w:sz w:val="24"/>
          <w:szCs w:val="24"/>
          <w:lang w:val="en-GB"/>
        </w:rPr>
        <w:t>, A. (Eds.).</w:t>
      </w:r>
      <w:proofErr w:type="gramEnd"/>
      <w:r w:rsidRPr="003778C4">
        <w:rPr>
          <w:rFonts w:cs="Times New Roman"/>
          <w:sz w:val="24"/>
          <w:szCs w:val="24"/>
          <w:lang w:val="en-GB"/>
        </w:rPr>
        <w:t xml:space="preserve"> (2013). </w:t>
      </w:r>
      <w:r w:rsidRPr="003778C4">
        <w:rPr>
          <w:rFonts w:cs="Times New Roman"/>
          <w:i/>
          <w:sz w:val="24"/>
          <w:szCs w:val="24"/>
          <w:lang w:val="en-GB"/>
        </w:rPr>
        <w:t>PISA, power, and policy: The emergence of global educational governance</w:t>
      </w:r>
      <w:r w:rsidRPr="003778C4">
        <w:rPr>
          <w:rFonts w:cs="Times New Roman"/>
          <w:sz w:val="24"/>
          <w:szCs w:val="24"/>
          <w:lang w:val="en-GB"/>
        </w:rPr>
        <w:t xml:space="preserve">. Oxford: Symposium Books. </w:t>
      </w:r>
    </w:p>
    <w:p w:rsidR="00917774" w:rsidRPr="003778C4" w:rsidRDefault="00193A46" w:rsidP="00895047">
      <w:pPr>
        <w:pStyle w:val="ICMEReferences"/>
        <w:spacing w:after="0" w:line="240" w:lineRule="auto"/>
        <w:ind w:left="709" w:hanging="709"/>
        <w:jc w:val="left"/>
        <w:rPr>
          <w:rFonts w:cs="Times New Roman"/>
          <w:sz w:val="24"/>
          <w:szCs w:val="24"/>
          <w:lang w:val="en-GB"/>
        </w:rPr>
      </w:pPr>
      <w:proofErr w:type="gramStart"/>
      <w:r w:rsidRPr="003778C4">
        <w:rPr>
          <w:rFonts w:cs="Times New Roman"/>
          <w:sz w:val="24"/>
          <w:szCs w:val="24"/>
          <w:lang w:val="en-GB"/>
        </w:rPr>
        <w:t>OECD (2013).</w:t>
      </w:r>
      <w:proofErr w:type="gramEnd"/>
      <w:r w:rsidRPr="003778C4">
        <w:rPr>
          <w:rFonts w:cs="Times New Roman"/>
          <w:sz w:val="24"/>
          <w:szCs w:val="24"/>
          <w:lang w:val="en-GB"/>
        </w:rPr>
        <w:t xml:space="preserve"> </w:t>
      </w:r>
      <w:r w:rsidRPr="003778C4">
        <w:rPr>
          <w:rFonts w:cs="Times New Roman"/>
          <w:i/>
          <w:iCs/>
          <w:sz w:val="24"/>
          <w:szCs w:val="24"/>
          <w:lang w:val="en-GB"/>
        </w:rPr>
        <w:t>OECD Skills Outlook 2013: First Results from the Survey of Adult Skills.</w:t>
      </w:r>
      <w:r w:rsidRPr="003778C4">
        <w:rPr>
          <w:rFonts w:cs="Times New Roman"/>
          <w:sz w:val="24"/>
          <w:szCs w:val="24"/>
          <w:lang w:val="en-GB"/>
        </w:rPr>
        <w:t xml:space="preserve"> Paris: OECD. Online: </w:t>
      </w:r>
      <w:hyperlink r:id="rId7" w:history="1">
        <w:r w:rsidRPr="003778C4">
          <w:rPr>
            <w:rStyle w:val="Hyperlink"/>
            <w:rFonts w:cs="Times New Roman"/>
            <w:sz w:val="24"/>
            <w:szCs w:val="24"/>
            <w:lang w:val="en-GB"/>
          </w:rPr>
          <w:t>http://www.oecd.org/site/piaac/#d.en.221854</w:t>
        </w:r>
      </w:hyperlink>
    </w:p>
    <w:p w:rsidR="00917774" w:rsidRPr="003778C4" w:rsidRDefault="00193A46" w:rsidP="00895047">
      <w:pPr>
        <w:pStyle w:val="ICMEReferences"/>
        <w:spacing w:after="0" w:line="240" w:lineRule="auto"/>
        <w:ind w:left="709" w:hanging="709"/>
        <w:jc w:val="left"/>
        <w:rPr>
          <w:rFonts w:cs="Times New Roman"/>
          <w:sz w:val="24"/>
          <w:szCs w:val="24"/>
          <w:lang w:val="en-GB"/>
        </w:rPr>
      </w:pPr>
      <w:proofErr w:type="gramStart"/>
      <w:r w:rsidRPr="003778C4">
        <w:rPr>
          <w:rFonts w:cs="Times New Roman"/>
          <w:sz w:val="24"/>
          <w:szCs w:val="24"/>
          <w:lang w:val="en-GB"/>
        </w:rPr>
        <w:t>OECD (2016).</w:t>
      </w:r>
      <w:proofErr w:type="gramEnd"/>
      <w:r w:rsidRPr="003778C4">
        <w:rPr>
          <w:rFonts w:cs="Times New Roman"/>
          <w:sz w:val="24"/>
          <w:szCs w:val="24"/>
          <w:lang w:val="en-GB"/>
        </w:rPr>
        <w:t xml:space="preserve"> </w:t>
      </w:r>
      <w:r w:rsidRPr="003778C4">
        <w:rPr>
          <w:rFonts w:cs="Times New Roman"/>
          <w:i/>
          <w:iCs/>
          <w:sz w:val="24"/>
          <w:szCs w:val="24"/>
          <w:lang w:val="en-GB"/>
        </w:rPr>
        <w:t>Skills Matter: Further Results from the Survey of Adult Skills.</w:t>
      </w:r>
      <w:r w:rsidRPr="003778C4">
        <w:rPr>
          <w:rFonts w:cs="Times New Roman"/>
          <w:sz w:val="24"/>
          <w:szCs w:val="24"/>
          <w:lang w:val="en-GB"/>
        </w:rPr>
        <w:t xml:space="preserve"> Paris: OECD. Online: </w:t>
      </w:r>
      <w:hyperlink r:id="rId8" w:history="1">
        <w:r w:rsidRPr="003778C4">
          <w:rPr>
            <w:rStyle w:val="Hyperlink"/>
            <w:rFonts w:cs="Times New Roman"/>
            <w:sz w:val="24"/>
            <w:szCs w:val="24"/>
            <w:lang w:val="en-GB"/>
          </w:rPr>
          <w:t>http://www.oecd.org/skills/skills-matter-9789264258051-en.htm</w:t>
        </w:r>
      </w:hyperlink>
    </w:p>
    <w:p w:rsidR="004F74E8" w:rsidRPr="003778C4" w:rsidRDefault="00B71ECB" w:rsidP="00895047">
      <w:pPr>
        <w:pStyle w:val="ICMEReferences"/>
        <w:spacing w:after="0" w:line="240" w:lineRule="auto"/>
        <w:ind w:left="709" w:hanging="709"/>
        <w:jc w:val="left"/>
        <w:rPr>
          <w:rFonts w:cs="Times New Roman"/>
          <w:sz w:val="24"/>
          <w:szCs w:val="24"/>
          <w:lang w:val="en-GB"/>
        </w:rPr>
      </w:pPr>
      <w:r w:rsidRPr="003778C4">
        <w:rPr>
          <w:rFonts w:cs="Times New Roman"/>
          <w:sz w:val="24"/>
          <w:szCs w:val="24"/>
          <w:lang w:val="en-GB"/>
        </w:rPr>
        <w:t xml:space="preserve">OECD </w:t>
      </w:r>
      <w:r w:rsidR="00193A46" w:rsidRPr="003778C4">
        <w:rPr>
          <w:rFonts w:cs="Times New Roman"/>
          <w:sz w:val="24"/>
          <w:szCs w:val="24"/>
          <w:lang w:val="en-GB"/>
        </w:rPr>
        <w:t xml:space="preserve">PIAAC Numeracy Expert Group (2009) [Gal, I. (Chair), </w:t>
      </w:r>
      <w:proofErr w:type="spellStart"/>
      <w:r w:rsidR="00193A46" w:rsidRPr="003778C4">
        <w:rPr>
          <w:rFonts w:cs="Times New Roman"/>
          <w:sz w:val="24"/>
          <w:szCs w:val="24"/>
          <w:lang w:val="en-GB"/>
        </w:rPr>
        <w:t>Alatorre</w:t>
      </w:r>
      <w:proofErr w:type="spellEnd"/>
      <w:r w:rsidR="00193A46" w:rsidRPr="003778C4">
        <w:rPr>
          <w:rFonts w:cs="Times New Roman"/>
          <w:sz w:val="24"/>
          <w:szCs w:val="24"/>
          <w:lang w:val="en-GB"/>
        </w:rPr>
        <w:t xml:space="preserve">, S., Close, S., Evans, J., Johansen, L., Maguire, T., Manly, M., Tout, D.], </w:t>
      </w:r>
      <w:r w:rsidR="00193A46" w:rsidRPr="003778C4">
        <w:rPr>
          <w:rFonts w:cs="Times New Roman"/>
          <w:i/>
          <w:iCs/>
          <w:sz w:val="24"/>
          <w:szCs w:val="24"/>
          <w:lang w:val="en-GB"/>
        </w:rPr>
        <w:t>PIAAC Numeracy Framework</w:t>
      </w:r>
      <w:r w:rsidR="00193A46" w:rsidRPr="003778C4">
        <w:rPr>
          <w:rFonts w:cs="Times New Roman"/>
          <w:sz w:val="24"/>
          <w:szCs w:val="24"/>
          <w:lang w:val="en-GB"/>
        </w:rPr>
        <w:t xml:space="preserve">, OECD Education Working Paper no. 35 (24-nov-2009), OECD Publishing. Online:  </w:t>
      </w:r>
      <w:hyperlink r:id="rId9" w:history="1">
        <w:r w:rsidR="00193A46" w:rsidRPr="003778C4">
          <w:rPr>
            <w:rStyle w:val="Hyperlink"/>
            <w:rFonts w:cs="Times New Roman"/>
            <w:sz w:val="24"/>
            <w:szCs w:val="24"/>
            <w:lang w:val="en-GB"/>
          </w:rPr>
          <w:t>http://www.oecd.org/officialdocuments/displaydocumentpdf?cote=edu/wkp(2009)14&amp;doclanguage=en</w:t>
        </w:r>
      </w:hyperlink>
    </w:p>
    <w:p w:rsidR="005F27B3" w:rsidRPr="003778C4" w:rsidRDefault="005F27B3" w:rsidP="00895047">
      <w:pPr>
        <w:pStyle w:val="ICMEReferences"/>
        <w:spacing w:after="0" w:line="240" w:lineRule="auto"/>
        <w:ind w:left="709" w:hanging="709"/>
        <w:rPr>
          <w:rFonts w:cs="Times New Roman"/>
          <w:sz w:val="24"/>
          <w:szCs w:val="24"/>
          <w:lang w:val="en-GB"/>
        </w:rPr>
      </w:pPr>
      <w:proofErr w:type="spellStart"/>
      <w:r w:rsidRPr="003778C4">
        <w:rPr>
          <w:rFonts w:cs="Times New Roman"/>
          <w:sz w:val="24"/>
          <w:szCs w:val="24"/>
          <w:lang w:val="en-GB"/>
        </w:rPr>
        <w:t>Ozga</w:t>
      </w:r>
      <w:proofErr w:type="spellEnd"/>
      <w:r w:rsidRPr="003778C4">
        <w:rPr>
          <w:rFonts w:cs="Times New Roman"/>
          <w:sz w:val="24"/>
          <w:szCs w:val="24"/>
          <w:lang w:val="en-GB"/>
        </w:rPr>
        <w:t xml:space="preserve">, J. (2009). Governing education through data in England: from regulation to self-evaluation. </w:t>
      </w:r>
      <w:hyperlink r:id="rId10" w:tooltip="Journal of Education Policy" w:history="1">
        <w:r w:rsidRPr="003778C4">
          <w:rPr>
            <w:rStyle w:val="Hyperlink"/>
            <w:rFonts w:cs="Times New Roman"/>
            <w:i/>
            <w:sz w:val="24"/>
            <w:szCs w:val="24"/>
            <w:lang w:val="en-GB"/>
          </w:rPr>
          <w:t>Journal of Education Policy</w:t>
        </w:r>
      </w:hyperlink>
      <w:r w:rsidRPr="003778C4">
        <w:rPr>
          <w:rFonts w:cs="Times New Roman"/>
          <w:i/>
          <w:sz w:val="24"/>
          <w:szCs w:val="24"/>
          <w:lang w:val="en-GB"/>
        </w:rPr>
        <w:t>,</w:t>
      </w:r>
      <w:r w:rsidRPr="003778C4">
        <w:rPr>
          <w:rFonts w:cs="Times New Roman"/>
          <w:sz w:val="24"/>
          <w:szCs w:val="24"/>
          <w:lang w:val="en-GB"/>
        </w:rPr>
        <w:t xml:space="preserve"> </w:t>
      </w:r>
      <w:r w:rsidRPr="003778C4">
        <w:rPr>
          <w:rFonts w:cs="Times New Roman"/>
          <w:i/>
          <w:sz w:val="24"/>
          <w:szCs w:val="24"/>
          <w:lang w:val="en-GB"/>
        </w:rPr>
        <w:t>24</w:t>
      </w:r>
      <w:r w:rsidRPr="003778C4">
        <w:rPr>
          <w:rFonts w:cs="Times New Roman"/>
          <w:sz w:val="24"/>
          <w:szCs w:val="24"/>
          <w:lang w:val="en-GB"/>
        </w:rPr>
        <w:t>(2), 149-162.</w:t>
      </w:r>
    </w:p>
    <w:p w:rsidR="00524F1B" w:rsidRPr="003778C4" w:rsidRDefault="00541B82"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t xml:space="preserve">* </w:t>
      </w:r>
      <w:proofErr w:type="spellStart"/>
      <w:r w:rsidR="00524F1B" w:rsidRPr="003778C4">
        <w:rPr>
          <w:rFonts w:cs="Times New Roman"/>
          <w:sz w:val="24"/>
          <w:szCs w:val="24"/>
          <w:lang w:val="en-GB"/>
        </w:rPr>
        <w:t>Reder</w:t>
      </w:r>
      <w:proofErr w:type="spellEnd"/>
      <w:r w:rsidR="00524F1B" w:rsidRPr="003778C4">
        <w:rPr>
          <w:rFonts w:cs="Times New Roman"/>
          <w:sz w:val="24"/>
          <w:szCs w:val="24"/>
          <w:lang w:val="en-GB"/>
        </w:rPr>
        <w:t xml:space="preserve">, S. (2015). Adult Basic Skills Programs: A Crucial Tool in Fighting Poverty. Retrieved from </w:t>
      </w:r>
      <w:hyperlink r:id="rId11" w:history="1">
        <w:r w:rsidR="001B2BBC" w:rsidRPr="003778C4">
          <w:rPr>
            <w:rStyle w:val="Hyperlink"/>
            <w:rFonts w:cs="Times New Roman"/>
            <w:sz w:val="24"/>
            <w:szCs w:val="24"/>
            <w:lang w:val="en-GB"/>
          </w:rPr>
          <w:t>http://spotlightonpoverty.org/spotlight-exclusives/adult-basic-skills-programs-a-crucial-tool-in-fighting-poverty/</w:t>
        </w:r>
      </w:hyperlink>
    </w:p>
    <w:p w:rsidR="001B2BBC" w:rsidRPr="003778C4" w:rsidRDefault="001B2BBC" w:rsidP="00895047">
      <w:pPr>
        <w:pStyle w:val="ICMEReferences"/>
        <w:spacing w:after="0" w:line="240" w:lineRule="auto"/>
        <w:ind w:left="709" w:hanging="709"/>
        <w:rPr>
          <w:rFonts w:cs="Times New Roman"/>
          <w:sz w:val="24"/>
          <w:szCs w:val="24"/>
          <w:lang w:val="en-GB" w:eastAsia="en-GB"/>
        </w:rPr>
      </w:pPr>
      <w:proofErr w:type="gramStart"/>
      <w:r w:rsidRPr="003778C4">
        <w:rPr>
          <w:rFonts w:cs="Times New Roman"/>
          <w:sz w:val="24"/>
          <w:szCs w:val="24"/>
          <w:lang w:val="en-GB" w:eastAsia="en-GB"/>
        </w:rPr>
        <w:t>Reder, S.</w:t>
      </w:r>
      <w:r w:rsidR="00A83491" w:rsidRPr="003778C4">
        <w:rPr>
          <w:rFonts w:cs="Times New Roman"/>
          <w:sz w:val="24"/>
          <w:szCs w:val="24"/>
          <w:lang w:val="en-GB" w:eastAsia="en-GB"/>
        </w:rPr>
        <w:t>,</w:t>
      </w:r>
      <w:r w:rsidRPr="003778C4">
        <w:rPr>
          <w:rFonts w:cs="Times New Roman"/>
          <w:sz w:val="24"/>
          <w:szCs w:val="24"/>
          <w:lang w:val="en-GB" w:eastAsia="en-GB"/>
        </w:rPr>
        <w:t xml:space="preserve"> </w:t>
      </w:r>
      <w:r w:rsidR="00A83491" w:rsidRPr="003778C4">
        <w:rPr>
          <w:rFonts w:cs="Times New Roman"/>
          <w:sz w:val="24"/>
          <w:szCs w:val="24"/>
          <w:lang w:val="en-GB" w:eastAsia="en-GB"/>
        </w:rPr>
        <w:t xml:space="preserve">&amp; </w:t>
      </w:r>
      <w:proofErr w:type="spellStart"/>
      <w:r w:rsidRPr="003778C4">
        <w:rPr>
          <w:rFonts w:cs="Times New Roman"/>
          <w:sz w:val="24"/>
          <w:szCs w:val="24"/>
          <w:lang w:val="en-GB" w:eastAsia="en-GB"/>
        </w:rPr>
        <w:t>Bynner</w:t>
      </w:r>
      <w:proofErr w:type="spellEnd"/>
      <w:r w:rsidRPr="003778C4">
        <w:rPr>
          <w:rFonts w:cs="Times New Roman"/>
          <w:sz w:val="24"/>
          <w:szCs w:val="24"/>
          <w:lang w:val="en-GB" w:eastAsia="en-GB"/>
        </w:rPr>
        <w:t>, J. (Eds.) (2009).</w:t>
      </w:r>
      <w:proofErr w:type="gramEnd"/>
      <w:r w:rsidRPr="003778C4">
        <w:rPr>
          <w:rFonts w:cs="Times New Roman"/>
          <w:sz w:val="24"/>
          <w:szCs w:val="24"/>
          <w:lang w:val="en-GB" w:eastAsia="en-GB"/>
        </w:rPr>
        <w:t xml:space="preserve"> </w:t>
      </w:r>
      <w:r w:rsidRPr="003778C4">
        <w:rPr>
          <w:rFonts w:cs="Times New Roman"/>
          <w:i/>
          <w:sz w:val="24"/>
          <w:szCs w:val="24"/>
          <w:lang w:val="en-GB" w:eastAsia="en-GB"/>
        </w:rPr>
        <w:t>Tracking Adult Literacy and Numeracy Skills: Findings from Longitudinal Research.</w:t>
      </w:r>
      <w:r w:rsidRPr="003778C4">
        <w:rPr>
          <w:rFonts w:cs="Times New Roman"/>
          <w:sz w:val="24"/>
          <w:szCs w:val="24"/>
          <w:lang w:val="en-GB" w:eastAsia="en-GB"/>
        </w:rPr>
        <w:t xml:space="preserve"> London: Routledge. </w:t>
      </w:r>
    </w:p>
    <w:p w:rsidR="00AC3CCC" w:rsidRPr="003778C4" w:rsidRDefault="00541B82"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t xml:space="preserve">* </w:t>
      </w:r>
      <w:r w:rsidR="00AC3CCC" w:rsidRPr="003778C4">
        <w:rPr>
          <w:rFonts w:cs="Times New Roman"/>
          <w:sz w:val="24"/>
          <w:szCs w:val="24"/>
          <w:lang w:val="en-GB"/>
        </w:rPr>
        <w:t xml:space="preserve">St. Clair, R. (2014, May). A different slice of PIAAC: Alternative insights from the survey results. </w:t>
      </w:r>
      <w:r w:rsidRPr="003778C4">
        <w:rPr>
          <w:rFonts w:cs="Times New Roman"/>
          <w:sz w:val="24"/>
          <w:szCs w:val="24"/>
          <w:lang w:val="en-GB"/>
        </w:rPr>
        <w:t xml:space="preserve">Proceedings of the 2014 Annual Conference </w:t>
      </w:r>
      <w:proofErr w:type="gramStart"/>
      <w:r w:rsidRPr="003778C4">
        <w:rPr>
          <w:rFonts w:cs="Times New Roman"/>
          <w:sz w:val="24"/>
          <w:szCs w:val="24"/>
          <w:lang w:val="en-GB"/>
        </w:rPr>
        <w:t>of  CASAE</w:t>
      </w:r>
      <w:proofErr w:type="gramEnd"/>
      <w:r w:rsidRPr="003778C4">
        <w:rPr>
          <w:rFonts w:cs="Times New Roman"/>
          <w:sz w:val="24"/>
          <w:szCs w:val="24"/>
          <w:lang w:val="en-GB"/>
        </w:rPr>
        <w:t xml:space="preserve">/ACEEA, Brock University, Ontario, Canada. </w:t>
      </w:r>
      <w:r w:rsidR="006A2BB3" w:rsidRPr="003778C4">
        <w:rPr>
          <w:rFonts w:cs="Times New Roman"/>
          <w:sz w:val="24"/>
          <w:szCs w:val="24"/>
          <w:lang w:val="en-GB"/>
        </w:rPr>
        <w:t>Retrieved</w:t>
      </w:r>
      <w:r w:rsidR="00AC3CCC" w:rsidRPr="003778C4">
        <w:rPr>
          <w:rFonts w:cs="Times New Roman"/>
          <w:sz w:val="24"/>
          <w:szCs w:val="24"/>
          <w:lang w:val="en-GB"/>
        </w:rPr>
        <w:t xml:space="preserve"> from </w:t>
      </w:r>
      <w:hyperlink r:id="rId12" w:history="1">
        <w:r w:rsidR="00AC3CCC" w:rsidRPr="003778C4">
          <w:rPr>
            <w:rStyle w:val="Hyperlink"/>
            <w:rFonts w:cs="Times New Roman"/>
            <w:sz w:val="24"/>
            <w:szCs w:val="24"/>
            <w:lang w:val="en-GB"/>
          </w:rPr>
          <w:t>http://journals.msvu.ca/ocs/index.php/casae2014/CASAE14/paper/viewFile/25/44</w:t>
        </w:r>
      </w:hyperlink>
    </w:p>
    <w:p w:rsidR="00BF4C62" w:rsidRPr="003778C4" w:rsidRDefault="00541B82"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t xml:space="preserve">* </w:t>
      </w:r>
      <w:r w:rsidR="00BF4C62" w:rsidRPr="003778C4">
        <w:rPr>
          <w:rFonts w:cs="Times New Roman"/>
          <w:sz w:val="24"/>
          <w:szCs w:val="24"/>
          <w:lang w:val="en-GB"/>
        </w:rPr>
        <w:t xml:space="preserve">Straesser, R. 2015, “Numeracy at work”: a discussion of terms and results from empirical studies, </w:t>
      </w:r>
      <w:r w:rsidR="00BF4C62" w:rsidRPr="003778C4">
        <w:rPr>
          <w:rFonts w:cs="Times New Roman"/>
          <w:i/>
          <w:sz w:val="24"/>
          <w:szCs w:val="24"/>
          <w:lang w:val="en-GB"/>
        </w:rPr>
        <w:t>ZDM Mathematics Education</w:t>
      </w:r>
      <w:r w:rsidR="00BF4C62" w:rsidRPr="003778C4">
        <w:rPr>
          <w:rFonts w:cs="Times New Roman"/>
          <w:sz w:val="24"/>
          <w:szCs w:val="24"/>
          <w:lang w:val="en-GB"/>
        </w:rPr>
        <w:t>,</w:t>
      </w:r>
      <w:r w:rsidR="007B0E0B" w:rsidRPr="003778C4">
        <w:rPr>
          <w:rFonts w:cs="Times New Roman"/>
          <w:sz w:val="24"/>
          <w:szCs w:val="24"/>
          <w:lang w:val="en-GB"/>
        </w:rPr>
        <w:t xml:space="preserve"> 47(4), 665-674.</w:t>
      </w:r>
      <w:r w:rsidR="00BF4C62" w:rsidRPr="003778C4">
        <w:rPr>
          <w:rFonts w:cs="Times New Roman"/>
          <w:sz w:val="24"/>
          <w:szCs w:val="24"/>
          <w:lang w:val="en-GB"/>
        </w:rPr>
        <w:t xml:space="preserve"> DOI 10.1007/s11858-015-0689-0</w:t>
      </w:r>
    </w:p>
    <w:p w:rsidR="00BF4C62" w:rsidRPr="003778C4" w:rsidRDefault="00541B82"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t xml:space="preserve">* </w:t>
      </w:r>
      <w:r w:rsidR="00BF4C62" w:rsidRPr="003778C4">
        <w:rPr>
          <w:rFonts w:cs="Times New Roman"/>
          <w:sz w:val="24"/>
          <w:szCs w:val="24"/>
          <w:lang w:val="en-GB"/>
        </w:rPr>
        <w:t>Tout, D.</w:t>
      </w:r>
      <w:r w:rsidR="00A83491" w:rsidRPr="003778C4">
        <w:rPr>
          <w:rFonts w:cs="Times New Roman"/>
          <w:sz w:val="24"/>
          <w:szCs w:val="24"/>
          <w:lang w:val="en-GB"/>
        </w:rPr>
        <w:t>,</w:t>
      </w:r>
      <w:r w:rsidR="00BF4C62" w:rsidRPr="003778C4">
        <w:rPr>
          <w:rFonts w:cs="Times New Roman"/>
          <w:sz w:val="24"/>
          <w:szCs w:val="24"/>
          <w:lang w:val="en-GB"/>
        </w:rPr>
        <w:t xml:space="preserve"> &amp; Gal, I. 2015, Perspectives on numeracy: reflections from international assessments, </w:t>
      </w:r>
      <w:r w:rsidR="00BF4C62" w:rsidRPr="003778C4">
        <w:rPr>
          <w:rFonts w:cs="Times New Roman"/>
          <w:i/>
          <w:sz w:val="24"/>
          <w:szCs w:val="24"/>
          <w:lang w:val="en-GB"/>
        </w:rPr>
        <w:t>ZDM Mathematics Education</w:t>
      </w:r>
      <w:r w:rsidR="00BF4C62" w:rsidRPr="003778C4">
        <w:rPr>
          <w:rFonts w:cs="Times New Roman"/>
          <w:sz w:val="24"/>
          <w:szCs w:val="24"/>
          <w:lang w:val="en-GB"/>
        </w:rPr>
        <w:t xml:space="preserve">, </w:t>
      </w:r>
      <w:r w:rsidR="007B0E0B" w:rsidRPr="003778C4">
        <w:rPr>
          <w:rFonts w:cs="Times New Roman"/>
          <w:i/>
          <w:sz w:val="24"/>
          <w:szCs w:val="24"/>
          <w:lang w:val="en-GB"/>
        </w:rPr>
        <w:t>47</w:t>
      </w:r>
      <w:r w:rsidR="007B0E0B" w:rsidRPr="003778C4">
        <w:rPr>
          <w:rFonts w:cs="Times New Roman"/>
          <w:sz w:val="24"/>
          <w:szCs w:val="24"/>
          <w:lang w:val="en-GB"/>
        </w:rPr>
        <w:t xml:space="preserve">(4), 691-706. </w:t>
      </w:r>
      <w:r w:rsidR="00BF4C62" w:rsidRPr="003778C4">
        <w:rPr>
          <w:rFonts w:cs="Times New Roman"/>
          <w:sz w:val="24"/>
          <w:szCs w:val="24"/>
          <w:lang w:val="en-GB"/>
        </w:rPr>
        <w:t>DOI 10.1007/s11858-015-0672-9</w:t>
      </w:r>
    </w:p>
    <w:p w:rsidR="00BF4C62" w:rsidRPr="003778C4" w:rsidRDefault="00BF4C62" w:rsidP="00895047">
      <w:pPr>
        <w:pStyle w:val="ICMEReferences"/>
        <w:spacing w:after="0" w:line="240" w:lineRule="auto"/>
        <w:ind w:left="709" w:hanging="709"/>
        <w:rPr>
          <w:rFonts w:cs="Times New Roman"/>
          <w:sz w:val="24"/>
          <w:szCs w:val="24"/>
          <w:lang w:val="en-GB"/>
        </w:rPr>
      </w:pPr>
      <w:proofErr w:type="gramStart"/>
      <w:r w:rsidRPr="003778C4">
        <w:rPr>
          <w:rFonts w:cs="Times New Roman"/>
          <w:sz w:val="24"/>
          <w:szCs w:val="24"/>
          <w:lang w:val="en-GB"/>
        </w:rPr>
        <w:t xml:space="preserve">Tsatsaroni, A., &amp; Evans, J. </w:t>
      </w:r>
      <w:r w:rsidR="00541B82" w:rsidRPr="003778C4">
        <w:rPr>
          <w:rFonts w:cs="Times New Roman"/>
          <w:sz w:val="24"/>
          <w:szCs w:val="24"/>
          <w:lang w:val="en-GB"/>
        </w:rPr>
        <w:t>(</w:t>
      </w:r>
      <w:r w:rsidRPr="003778C4">
        <w:rPr>
          <w:rFonts w:cs="Times New Roman"/>
          <w:sz w:val="24"/>
          <w:szCs w:val="24"/>
          <w:lang w:val="en-GB"/>
        </w:rPr>
        <w:t>2013</w:t>
      </w:r>
      <w:r w:rsidR="00541B82" w:rsidRPr="003778C4">
        <w:rPr>
          <w:rFonts w:cs="Times New Roman"/>
          <w:sz w:val="24"/>
          <w:szCs w:val="24"/>
          <w:lang w:val="en-GB"/>
        </w:rPr>
        <w:t>).</w:t>
      </w:r>
      <w:proofErr w:type="gramEnd"/>
      <w:r w:rsidRPr="003778C4">
        <w:rPr>
          <w:rFonts w:cs="Times New Roman"/>
          <w:sz w:val="24"/>
          <w:szCs w:val="24"/>
          <w:lang w:val="en-GB"/>
        </w:rPr>
        <w:t xml:space="preserve"> Adult numeracy and the totally </w:t>
      </w:r>
      <w:proofErr w:type="spellStart"/>
      <w:r w:rsidRPr="003778C4">
        <w:rPr>
          <w:rFonts w:cs="Times New Roman"/>
          <w:sz w:val="24"/>
          <w:szCs w:val="24"/>
          <w:lang w:val="en-GB"/>
        </w:rPr>
        <w:t>pedagogised</w:t>
      </w:r>
      <w:proofErr w:type="spellEnd"/>
      <w:r w:rsidRPr="003778C4">
        <w:rPr>
          <w:rFonts w:cs="Times New Roman"/>
          <w:sz w:val="24"/>
          <w:szCs w:val="24"/>
          <w:lang w:val="en-GB"/>
        </w:rPr>
        <w:t xml:space="preserve"> society: PIAAC and other international surveys in the context of global educational policy on lifelong learning, </w:t>
      </w:r>
      <w:r w:rsidRPr="003778C4">
        <w:rPr>
          <w:rFonts w:cs="Times New Roman"/>
          <w:i/>
          <w:sz w:val="24"/>
          <w:szCs w:val="24"/>
          <w:lang w:val="en-GB"/>
        </w:rPr>
        <w:t>Educational Studies in Mathematics</w:t>
      </w:r>
      <w:r w:rsidR="00BB483D" w:rsidRPr="003778C4">
        <w:rPr>
          <w:rFonts w:cs="Times New Roman"/>
          <w:i/>
          <w:sz w:val="24"/>
          <w:szCs w:val="24"/>
          <w:lang w:val="en-GB"/>
        </w:rPr>
        <w:t>, Special Issue: Social theory and research in mathematics education, 87</w:t>
      </w:r>
      <w:r w:rsidR="00BB483D" w:rsidRPr="003778C4">
        <w:rPr>
          <w:rFonts w:cs="Times New Roman"/>
          <w:sz w:val="24"/>
          <w:szCs w:val="24"/>
          <w:lang w:val="en-GB"/>
        </w:rPr>
        <w:t>, 2, 167-186. DOI</w:t>
      </w:r>
      <w:proofErr w:type="gramStart"/>
      <w:r w:rsidRPr="003778C4">
        <w:rPr>
          <w:rFonts w:cs="Times New Roman"/>
          <w:sz w:val="24"/>
          <w:szCs w:val="24"/>
          <w:lang w:val="en-GB"/>
        </w:rPr>
        <w:t>:10.1007</w:t>
      </w:r>
      <w:proofErr w:type="gramEnd"/>
      <w:r w:rsidRPr="003778C4">
        <w:rPr>
          <w:rFonts w:cs="Times New Roman"/>
          <w:sz w:val="24"/>
          <w:szCs w:val="24"/>
          <w:lang w:val="en-GB"/>
        </w:rPr>
        <w:t>/ s10649-013-9470-x.</w:t>
      </w:r>
    </w:p>
    <w:p w:rsidR="00EA7C6F" w:rsidRPr="003778C4" w:rsidRDefault="00EA7C6F" w:rsidP="00895047">
      <w:pPr>
        <w:pStyle w:val="ICMEReferences"/>
        <w:spacing w:after="0" w:line="240" w:lineRule="auto"/>
        <w:ind w:left="709" w:hanging="709"/>
        <w:rPr>
          <w:rFonts w:cs="Times New Roman"/>
          <w:sz w:val="24"/>
          <w:szCs w:val="24"/>
          <w:lang w:val="en-GB"/>
        </w:rPr>
      </w:pPr>
      <w:r w:rsidRPr="003778C4">
        <w:rPr>
          <w:rFonts w:cs="Times New Roman"/>
          <w:sz w:val="24"/>
          <w:szCs w:val="24"/>
          <w:lang w:val="en-GB"/>
        </w:rPr>
        <w:t>Yasukawa, K. &amp; Black, S. (Eds.) (2016).</w:t>
      </w:r>
      <w:r w:rsidR="00C62108" w:rsidRPr="003778C4">
        <w:rPr>
          <w:rFonts w:cs="Times New Roman"/>
          <w:sz w:val="24"/>
          <w:szCs w:val="24"/>
          <w:lang w:val="en-GB"/>
        </w:rPr>
        <w:t xml:space="preserve"> </w:t>
      </w:r>
      <w:r w:rsidR="00C62108" w:rsidRPr="003778C4">
        <w:rPr>
          <w:rFonts w:cs="Times New Roman"/>
          <w:i/>
          <w:sz w:val="24"/>
          <w:szCs w:val="24"/>
          <w:lang w:val="en-GB"/>
        </w:rPr>
        <w:t>Beyond economic interests: Critical perspectives on adult literacy and numeracy in a globalised world</w:t>
      </w:r>
      <w:r w:rsidR="00C62108" w:rsidRPr="003778C4">
        <w:rPr>
          <w:rFonts w:cs="Times New Roman"/>
          <w:sz w:val="24"/>
          <w:szCs w:val="24"/>
          <w:lang w:val="en-GB"/>
        </w:rPr>
        <w:t>. Rotterdam: Sense.</w:t>
      </w:r>
    </w:p>
    <w:p w:rsidR="009861DE" w:rsidRPr="005B5402" w:rsidRDefault="00AC3CCC" w:rsidP="00895047">
      <w:pPr>
        <w:pStyle w:val="ICMEReferences"/>
        <w:spacing w:after="0" w:line="240" w:lineRule="auto"/>
        <w:ind w:left="709" w:hanging="709"/>
        <w:rPr>
          <w:lang w:val="en-GB"/>
        </w:rPr>
      </w:pPr>
      <w:proofErr w:type="gramStart"/>
      <w:r w:rsidRPr="003778C4">
        <w:rPr>
          <w:rFonts w:cs="Times New Roman"/>
          <w:sz w:val="24"/>
          <w:szCs w:val="24"/>
          <w:lang w:val="en-GB"/>
        </w:rPr>
        <w:t>Yasukawa, K., Hamilton, M.</w:t>
      </w:r>
      <w:r w:rsidR="00A83491" w:rsidRPr="003778C4">
        <w:rPr>
          <w:rFonts w:cs="Times New Roman"/>
          <w:sz w:val="24"/>
          <w:szCs w:val="24"/>
          <w:lang w:val="en-GB"/>
        </w:rPr>
        <w:t>,</w:t>
      </w:r>
      <w:r w:rsidRPr="003778C4">
        <w:rPr>
          <w:rFonts w:cs="Times New Roman"/>
          <w:sz w:val="24"/>
          <w:szCs w:val="24"/>
          <w:lang w:val="en-GB"/>
        </w:rPr>
        <w:t xml:space="preserve"> &amp; Evans, J. (</w:t>
      </w:r>
      <w:r w:rsidR="00A83491" w:rsidRPr="003778C4">
        <w:rPr>
          <w:rFonts w:cs="Times New Roman"/>
          <w:sz w:val="24"/>
          <w:szCs w:val="24"/>
          <w:lang w:val="en-GB"/>
        </w:rPr>
        <w:t>2016</w:t>
      </w:r>
      <w:r w:rsidRPr="003778C4">
        <w:rPr>
          <w:rFonts w:cs="Times New Roman"/>
          <w:sz w:val="24"/>
          <w:szCs w:val="24"/>
          <w:lang w:val="en-GB"/>
        </w:rPr>
        <w:t>).</w:t>
      </w:r>
      <w:proofErr w:type="gramEnd"/>
      <w:r w:rsidRPr="003778C4">
        <w:rPr>
          <w:rFonts w:cs="Times New Roman"/>
          <w:sz w:val="24"/>
          <w:szCs w:val="24"/>
          <w:lang w:val="en-GB"/>
        </w:rPr>
        <w:t xml:space="preserve"> A comparative analysis of national media responses to the OECD Survey of Adult Skills: Policy making from the global to the local?</w:t>
      </w:r>
      <w:r w:rsidR="00A448BA" w:rsidRPr="003778C4">
        <w:rPr>
          <w:rFonts w:cs="Times New Roman"/>
          <w:sz w:val="24"/>
          <w:szCs w:val="24"/>
          <w:lang w:val="en-GB"/>
        </w:rPr>
        <w:t xml:space="preserve"> </w:t>
      </w:r>
      <w:r w:rsidR="00A83491" w:rsidRPr="003778C4">
        <w:rPr>
          <w:rFonts w:cs="Times New Roman"/>
          <w:i/>
          <w:sz w:val="24"/>
          <w:szCs w:val="24"/>
          <w:lang w:val="en-GB"/>
        </w:rPr>
        <w:t>Compare: A Journal of Comparative and International Education, DOI:10.10</w:t>
      </w:r>
      <w:r w:rsidR="00A83491" w:rsidRPr="00CC0F2F">
        <w:rPr>
          <w:i/>
          <w:lang w:val="en-GB"/>
        </w:rPr>
        <w:t>80/03057925.2016.1158644</w:t>
      </w:r>
    </w:p>
    <w:sectPr w:rsidR="009861DE" w:rsidRPr="005B5402" w:rsidSect="00895047">
      <w:headerReference w:type="default" r:id="rId13"/>
      <w:footerReference w:type="default" r:id="rId14"/>
      <w:footerReference w:type="first" r:id="rId15"/>
      <w:pgSz w:w="11907" w:h="16839"/>
      <w:pgMar w:top="1440" w:right="1440" w:bottom="1440" w:left="1440" w:header="709" w:footer="652" w:gutter="0"/>
      <w:cols w:space="720"/>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792E3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9F5" w:rsidRDefault="007A29F5" w:rsidP="00164ABD">
      <w:pPr>
        <w:spacing w:after="0" w:line="240" w:lineRule="auto"/>
      </w:pPr>
      <w:r>
        <w:separator/>
      </w:r>
    </w:p>
  </w:endnote>
  <w:endnote w:type="continuationSeparator" w:id="0">
    <w:p w:rsidR="007A29F5" w:rsidRDefault="007A29F5" w:rsidP="00164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82"/>
      <w:docPartObj>
        <w:docPartGallery w:val="Page Numbers (Bottom of Page)"/>
        <w:docPartUnique/>
      </w:docPartObj>
    </w:sdtPr>
    <w:sdtContent>
      <w:p w:rsidR="00895047" w:rsidRDefault="00895047" w:rsidP="00895047">
        <w:pPr>
          <w:pStyle w:val="Footer"/>
          <w:pBdr>
            <w:top w:val="none" w:sz="0" w:space="0" w:color="auto"/>
          </w:pBdr>
          <w:jc w:val="right"/>
        </w:pPr>
        <w:fldSimple w:instr=" PAGE   \* MERGEFORMAT ">
          <w:r>
            <w:rPr>
              <w:noProof/>
            </w:rPr>
            <w:t>9</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77"/>
      <w:docPartObj>
        <w:docPartGallery w:val="Page Numbers (Bottom of Page)"/>
        <w:docPartUnique/>
      </w:docPartObj>
    </w:sdtPr>
    <w:sdtContent>
      <w:p w:rsidR="00895047" w:rsidRDefault="00895047" w:rsidP="00895047">
        <w:pPr>
          <w:pStyle w:val="Footer"/>
          <w:pBdr>
            <w:top w:val="none" w:sz="0" w:space="0" w:color="auto"/>
          </w:pBdr>
          <w:jc w:val="right"/>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9F5" w:rsidRDefault="007A29F5" w:rsidP="00164ABD">
      <w:pPr>
        <w:spacing w:after="0" w:line="240" w:lineRule="auto"/>
      </w:pPr>
      <w:r>
        <w:separator/>
      </w:r>
    </w:p>
  </w:footnote>
  <w:footnote w:type="continuationSeparator" w:id="0">
    <w:p w:rsidR="007A29F5" w:rsidRDefault="007A29F5" w:rsidP="00164A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B6" w:rsidRDefault="008203B6" w:rsidP="00C8754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34D"/>
    <w:multiLevelType w:val="hybridMultilevel"/>
    <w:tmpl w:val="5EA08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E261E3"/>
    <w:multiLevelType w:val="hybridMultilevel"/>
    <w:tmpl w:val="F22643CC"/>
    <w:lvl w:ilvl="0" w:tplc="0809000F">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nsid w:val="0EEF28A3"/>
    <w:multiLevelType w:val="multilevel"/>
    <w:tmpl w:val="005883FA"/>
    <w:lvl w:ilvl="0">
      <w:start w:val="1"/>
      <w:numFmt w:val="decimal"/>
      <w:lvlText w:val="%1."/>
      <w:lvlJc w:val="left"/>
      <w:pPr>
        <w:ind w:left="1145" w:hanging="360"/>
      </w:pPr>
      <w:rPr>
        <w:rFonts w:hint="default"/>
      </w:rPr>
    </w:lvl>
    <w:lvl w:ilvl="1">
      <w:start w:val="1"/>
      <w:numFmt w:val="bullet"/>
      <w:lvlText w:val="o"/>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3">
    <w:nsid w:val="1F01209C"/>
    <w:multiLevelType w:val="hybridMultilevel"/>
    <w:tmpl w:val="95CAD680"/>
    <w:lvl w:ilvl="0" w:tplc="8758D90A">
      <w:start w:val="1"/>
      <w:numFmt w:val="bullet"/>
      <w:lvlText w:val="•"/>
      <w:lvlJc w:val="left"/>
      <w:pPr>
        <w:tabs>
          <w:tab w:val="num" w:pos="720"/>
        </w:tabs>
        <w:ind w:left="720" w:hanging="360"/>
      </w:pPr>
      <w:rPr>
        <w:rFonts w:ascii="Times New Roman" w:hAnsi="Times New Roman" w:hint="default"/>
      </w:rPr>
    </w:lvl>
    <w:lvl w:ilvl="1" w:tplc="F926D65E" w:tentative="1">
      <w:start w:val="1"/>
      <w:numFmt w:val="bullet"/>
      <w:lvlText w:val="•"/>
      <w:lvlJc w:val="left"/>
      <w:pPr>
        <w:tabs>
          <w:tab w:val="num" w:pos="1440"/>
        </w:tabs>
        <w:ind w:left="1440" w:hanging="360"/>
      </w:pPr>
      <w:rPr>
        <w:rFonts w:ascii="Times New Roman" w:hAnsi="Times New Roman" w:hint="default"/>
      </w:rPr>
    </w:lvl>
    <w:lvl w:ilvl="2" w:tplc="580EABF6" w:tentative="1">
      <w:start w:val="1"/>
      <w:numFmt w:val="bullet"/>
      <w:lvlText w:val="•"/>
      <w:lvlJc w:val="left"/>
      <w:pPr>
        <w:tabs>
          <w:tab w:val="num" w:pos="2160"/>
        </w:tabs>
        <w:ind w:left="2160" w:hanging="360"/>
      </w:pPr>
      <w:rPr>
        <w:rFonts w:ascii="Times New Roman" w:hAnsi="Times New Roman" w:hint="default"/>
      </w:rPr>
    </w:lvl>
    <w:lvl w:ilvl="3" w:tplc="8B5CF18E" w:tentative="1">
      <w:start w:val="1"/>
      <w:numFmt w:val="bullet"/>
      <w:lvlText w:val="•"/>
      <w:lvlJc w:val="left"/>
      <w:pPr>
        <w:tabs>
          <w:tab w:val="num" w:pos="2880"/>
        </w:tabs>
        <w:ind w:left="2880" w:hanging="360"/>
      </w:pPr>
      <w:rPr>
        <w:rFonts w:ascii="Times New Roman" w:hAnsi="Times New Roman" w:hint="default"/>
      </w:rPr>
    </w:lvl>
    <w:lvl w:ilvl="4" w:tplc="92E27DA2" w:tentative="1">
      <w:start w:val="1"/>
      <w:numFmt w:val="bullet"/>
      <w:lvlText w:val="•"/>
      <w:lvlJc w:val="left"/>
      <w:pPr>
        <w:tabs>
          <w:tab w:val="num" w:pos="3600"/>
        </w:tabs>
        <w:ind w:left="3600" w:hanging="360"/>
      </w:pPr>
      <w:rPr>
        <w:rFonts w:ascii="Times New Roman" w:hAnsi="Times New Roman" w:hint="default"/>
      </w:rPr>
    </w:lvl>
    <w:lvl w:ilvl="5" w:tplc="37A2B0EA" w:tentative="1">
      <w:start w:val="1"/>
      <w:numFmt w:val="bullet"/>
      <w:lvlText w:val="•"/>
      <w:lvlJc w:val="left"/>
      <w:pPr>
        <w:tabs>
          <w:tab w:val="num" w:pos="4320"/>
        </w:tabs>
        <w:ind w:left="4320" w:hanging="360"/>
      </w:pPr>
      <w:rPr>
        <w:rFonts w:ascii="Times New Roman" w:hAnsi="Times New Roman" w:hint="default"/>
      </w:rPr>
    </w:lvl>
    <w:lvl w:ilvl="6" w:tplc="B7A25710" w:tentative="1">
      <w:start w:val="1"/>
      <w:numFmt w:val="bullet"/>
      <w:lvlText w:val="•"/>
      <w:lvlJc w:val="left"/>
      <w:pPr>
        <w:tabs>
          <w:tab w:val="num" w:pos="5040"/>
        </w:tabs>
        <w:ind w:left="5040" w:hanging="360"/>
      </w:pPr>
      <w:rPr>
        <w:rFonts w:ascii="Times New Roman" w:hAnsi="Times New Roman" w:hint="default"/>
      </w:rPr>
    </w:lvl>
    <w:lvl w:ilvl="7" w:tplc="5D38AEF0" w:tentative="1">
      <w:start w:val="1"/>
      <w:numFmt w:val="bullet"/>
      <w:lvlText w:val="•"/>
      <w:lvlJc w:val="left"/>
      <w:pPr>
        <w:tabs>
          <w:tab w:val="num" w:pos="5760"/>
        </w:tabs>
        <w:ind w:left="5760" w:hanging="360"/>
      </w:pPr>
      <w:rPr>
        <w:rFonts w:ascii="Times New Roman" w:hAnsi="Times New Roman" w:hint="default"/>
      </w:rPr>
    </w:lvl>
    <w:lvl w:ilvl="8" w:tplc="D52C7C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5E5DA4"/>
    <w:multiLevelType w:val="hybridMultilevel"/>
    <w:tmpl w:val="5C78E608"/>
    <w:lvl w:ilvl="0" w:tplc="C204A680">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614664"/>
    <w:multiLevelType w:val="hybridMultilevel"/>
    <w:tmpl w:val="01BC0742"/>
    <w:lvl w:ilvl="0" w:tplc="0809000F">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nsid w:val="29A971BE"/>
    <w:multiLevelType w:val="hybridMultilevel"/>
    <w:tmpl w:val="A5FE87B4"/>
    <w:lvl w:ilvl="0" w:tplc="710E9202">
      <w:start w:val="1"/>
      <w:numFmt w:val="bullet"/>
      <w:lvlText w:val="•"/>
      <w:lvlJc w:val="left"/>
      <w:pPr>
        <w:tabs>
          <w:tab w:val="num" w:pos="720"/>
        </w:tabs>
        <w:ind w:left="720" w:hanging="360"/>
      </w:pPr>
      <w:rPr>
        <w:rFonts w:ascii="Times New Roman" w:hAnsi="Times New Roman" w:hint="default"/>
      </w:rPr>
    </w:lvl>
    <w:lvl w:ilvl="1" w:tplc="C0ACFB16" w:tentative="1">
      <w:start w:val="1"/>
      <w:numFmt w:val="bullet"/>
      <w:lvlText w:val="•"/>
      <w:lvlJc w:val="left"/>
      <w:pPr>
        <w:tabs>
          <w:tab w:val="num" w:pos="1440"/>
        </w:tabs>
        <w:ind w:left="1440" w:hanging="360"/>
      </w:pPr>
      <w:rPr>
        <w:rFonts w:ascii="Times New Roman" w:hAnsi="Times New Roman" w:hint="default"/>
      </w:rPr>
    </w:lvl>
    <w:lvl w:ilvl="2" w:tplc="41141846" w:tentative="1">
      <w:start w:val="1"/>
      <w:numFmt w:val="bullet"/>
      <w:lvlText w:val="•"/>
      <w:lvlJc w:val="left"/>
      <w:pPr>
        <w:tabs>
          <w:tab w:val="num" w:pos="2160"/>
        </w:tabs>
        <w:ind w:left="2160" w:hanging="360"/>
      </w:pPr>
      <w:rPr>
        <w:rFonts w:ascii="Times New Roman" w:hAnsi="Times New Roman" w:hint="default"/>
      </w:rPr>
    </w:lvl>
    <w:lvl w:ilvl="3" w:tplc="BDC60272" w:tentative="1">
      <w:start w:val="1"/>
      <w:numFmt w:val="bullet"/>
      <w:lvlText w:val="•"/>
      <w:lvlJc w:val="left"/>
      <w:pPr>
        <w:tabs>
          <w:tab w:val="num" w:pos="2880"/>
        </w:tabs>
        <w:ind w:left="2880" w:hanging="360"/>
      </w:pPr>
      <w:rPr>
        <w:rFonts w:ascii="Times New Roman" w:hAnsi="Times New Roman" w:hint="default"/>
      </w:rPr>
    </w:lvl>
    <w:lvl w:ilvl="4" w:tplc="5224A29A" w:tentative="1">
      <w:start w:val="1"/>
      <w:numFmt w:val="bullet"/>
      <w:lvlText w:val="•"/>
      <w:lvlJc w:val="left"/>
      <w:pPr>
        <w:tabs>
          <w:tab w:val="num" w:pos="3600"/>
        </w:tabs>
        <w:ind w:left="3600" w:hanging="360"/>
      </w:pPr>
      <w:rPr>
        <w:rFonts w:ascii="Times New Roman" w:hAnsi="Times New Roman" w:hint="default"/>
      </w:rPr>
    </w:lvl>
    <w:lvl w:ilvl="5" w:tplc="7424EBBC" w:tentative="1">
      <w:start w:val="1"/>
      <w:numFmt w:val="bullet"/>
      <w:lvlText w:val="•"/>
      <w:lvlJc w:val="left"/>
      <w:pPr>
        <w:tabs>
          <w:tab w:val="num" w:pos="4320"/>
        </w:tabs>
        <w:ind w:left="4320" w:hanging="360"/>
      </w:pPr>
      <w:rPr>
        <w:rFonts w:ascii="Times New Roman" w:hAnsi="Times New Roman" w:hint="default"/>
      </w:rPr>
    </w:lvl>
    <w:lvl w:ilvl="6" w:tplc="19285616" w:tentative="1">
      <w:start w:val="1"/>
      <w:numFmt w:val="bullet"/>
      <w:lvlText w:val="•"/>
      <w:lvlJc w:val="left"/>
      <w:pPr>
        <w:tabs>
          <w:tab w:val="num" w:pos="5040"/>
        </w:tabs>
        <w:ind w:left="5040" w:hanging="360"/>
      </w:pPr>
      <w:rPr>
        <w:rFonts w:ascii="Times New Roman" w:hAnsi="Times New Roman" w:hint="default"/>
      </w:rPr>
    </w:lvl>
    <w:lvl w:ilvl="7" w:tplc="1E4486F0" w:tentative="1">
      <w:start w:val="1"/>
      <w:numFmt w:val="bullet"/>
      <w:lvlText w:val="•"/>
      <w:lvlJc w:val="left"/>
      <w:pPr>
        <w:tabs>
          <w:tab w:val="num" w:pos="5760"/>
        </w:tabs>
        <w:ind w:left="5760" w:hanging="360"/>
      </w:pPr>
      <w:rPr>
        <w:rFonts w:ascii="Times New Roman" w:hAnsi="Times New Roman" w:hint="default"/>
      </w:rPr>
    </w:lvl>
    <w:lvl w:ilvl="8" w:tplc="3DAE9A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3A0C2352"/>
    <w:multiLevelType w:val="hybridMultilevel"/>
    <w:tmpl w:val="12EC3EF4"/>
    <w:lvl w:ilvl="0" w:tplc="0809000F">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8">
    <w:nsid w:val="3BB95813"/>
    <w:multiLevelType w:val="hybridMultilevel"/>
    <w:tmpl w:val="2912FA5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3FC66F2"/>
    <w:multiLevelType w:val="hybridMultilevel"/>
    <w:tmpl w:val="41C0F156"/>
    <w:lvl w:ilvl="0" w:tplc="0809000F">
      <w:start w:val="1"/>
      <w:numFmt w:val="decimal"/>
      <w:lvlText w:val="%1."/>
      <w:lvlJc w:val="left"/>
      <w:pPr>
        <w:ind w:left="1145" w:hanging="360"/>
      </w:pPr>
      <w:rPr>
        <w:rFonts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0">
    <w:nsid w:val="4BAB13D0"/>
    <w:multiLevelType w:val="hybridMultilevel"/>
    <w:tmpl w:val="6B0E5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2AF59EE"/>
    <w:multiLevelType w:val="hybridMultilevel"/>
    <w:tmpl w:val="8A5C5206"/>
    <w:lvl w:ilvl="0" w:tplc="3AAAE71C">
      <w:start w:val="1"/>
      <w:numFmt w:val="bullet"/>
      <w:lvlText w:val="•"/>
      <w:lvlJc w:val="left"/>
      <w:pPr>
        <w:tabs>
          <w:tab w:val="num" w:pos="720"/>
        </w:tabs>
        <w:ind w:left="720" w:hanging="360"/>
      </w:pPr>
      <w:rPr>
        <w:rFonts w:ascii="Times New Roman" w:hAnsi="Times New Roman" w:hint="default"/>
      </w:rPr>
    </w:lvl>
    <w:lvl w:ilvl="1" w:tplc="D3B8F0A4" w:tentative="1">
      <w:start w:val="1"/>
      <w:numFmt w:val="bullet"/>
      <w:lvlText w:val="•"/>
      <w:lvlJc w:val="left"/>
      <w:pPr>
        <w:tabs>
          <w:tab w:val="num" w:pos="1440"/>
        </w:tabs>
        <w:ind w:left="1440" w:hanging="360"/>
      </w:pPr>
      <w:rPr>
        <w:rFonts w:ascii="Times New Roman" w:hAnsi="Times New Roman" w:hint="default"/>
      </w:rPr>
    </w:lvl>
    <w:lvl w:ilvl="2" w:tplc="8042FB16" w:tentative="1">
      <w:start w:val="1"/>
      <w:numFmt w:val="bullet"/>
      <w:lvlText w:val="•"/>
      <w:lvlJc w:val="left"/>
      <w:pPr>
        <w:tabs>
          <w:tab w:val="num" w:pos="2160"/>
        </w:tabs>
        <w:ind w:left="2160" w:hanging="360"/>
      </w:pPr>
      <w:rPr>
        <w:rFonts w:ascii="Times New Roman" w:hAnsi="Times New Roman" w:hint="default"/>
      </w:rPr>
    </w:lvl>
    <w:lvl w:ilvl="3" w:tplc="027A6650" w:tentative="1">
      <w:start w:val="1"/>
      <w:numFmt w:val="bullet"/>
      <w:lvlText w:val="•"/>
      <w:lvlJc w:val="left"/>
      <w:pPr>
        <w:tabs>
          <w:tab w:val="num" w:pos="2880"/>
        </w:tabs>
        <w:ind w:left="2880" w:hanging="360"/>
      </w:pPr>
      <w:rPr>
        <w:rFonts w:ascii="Times New Roman" w:hAnsi="Times New Roman" w:hint="default"/>
      </w:rPr>
    </w:lvl>
    <w:lvl w:ilvl="4" w:tplc="8EDC2D02" w:tentative="1">
      <w:start w:val="1"/>
      <w:numFmt w:val="bullet"/>
      <w:lvlText w:val="•"/>
      <w:lvlJc w:val="left"/>
      <w:pPr>
        <w:tabs>
          <w:tab w:val="num" w:pos="3600"/>
        </w:tabs>
        <w:ind w:left="3600" w:hanging="360"/>
      </w:pPr>
      <w:rPr>
        <w:rFonts w:ascii="Times New Roman" w:hAnsi="Times New Roman" w:hint="default"/>
      </w:rPr>
    </w:lvl>
    <w:lvl w:ilvl="5" w:tplc="20B29232" w:tentative="1">
      <w:start w:val="1"/>
      <w:numFmt w:val="bullet"/>
      <w:lvlText w:val="•"/>
      <w:lvlJc w:val="left"/>
      <w:pPr>
        <w:tabs>
          <w:tab w:val="num" w:pos="4320"/>
        </w:tabs>
        <w:ind w:left="4320" w:hanging="360"/>
      </w:pPr>
      <w:rPr>
        <w:rFonts w:ascii="Times New Roman" w:hAnsi="Times New Roman" w:hint="default"/>
      </w:rPr>
    </w:lvl>
    <w:lvl w:ilvl="6" w:tplc="30BA94CC" w:tentative="1">
      <w:start w:val="1"/>
      <w:numFmt w:val="bullet"/>
      <w:lvlText w:val="•"/>
      <w:lvlJc w:val="left"/>
      <w:pPr>
        <w:tabs>
          <w:tab w:val="num" w:pos="5040"/>
        </w:tabs>
        <w:ind w:left="5040" w:hanging="360"/>
      </w:pPr>
      <w:rPr>
        <w:rFonts w:ascii="Times New Roman" w:hAnsi="Times New Roman" w:hint="default"/>
      </w:rPr>
    </w:lvl>
    <w:lvl w:ilvl="7" w:tplc="F3048B68" w:tentative="1">
      <w:start w:val="1"/>
      <w:numFmt w:val="bullet"/>
      <w:lvlText w:val="•"/>
      <w:lvlJc w:val="left"/>
      <w:pPr>
        <w:tabs>
          <w:tab w:val="num" w:pos="5760"/>
        </w:tabs>
        <w:ind w:left="5760" w:hanging="360"/>
      </w:pPr>
      <w:rPr>
        <w:rFonts w:ascii="Times New Roman" w:hAnsi="Times New Roman" w:hint="default"/>
      </w:rPr>
    </w:lvl>
    <w:lvl w:ilvl="8" w:tplc="9696642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D3B5D99"/>
    <w:multiLevelType w:val="hybridMultilevel"/>
    <w:tmpl w:val="E4727814"/>
    <w:lvl w:ilvl="0" w:tplc="A7061942">
      <w:start w:val="1"/>
      <w:numFmt w:val="lowerRoman"/>
      <w:lvlText w:val="%1)"/>
      <w:lvlJc w:val="right"/>
      <w:pPr>
        <w:ind w:left="1145" w:hanging="360"/>
      </w:pPr>
      <w:rPr>
        <w:rFonts w:hint="default"/>
        <w:color w:val="000000" w:themeColor="text1"/>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3">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4">
    <w:nsid w:val="64C77FBF"/>
    <w:multiLevelType w:val="multilevel"/>
    <w:tmpl w:val="005883FA"/>
    <w:styleLink w:val="Style1"/>
    <w:lvl w:ilvl="0">
      <w:start w:val="1"/>
      <w:numFmt w:val="decimal"/>
      <w:lvlText w:val="%1."/>
      <w:lvlJc w:val="left"/>
      <w:pPr>
        <w:ind w:left="1145" w:hanging="360"/>
      </w:pPr>
      <w:rPr>
        <w:rFonts w:hint="default"/>
      </w:rPr>
    </w:lvl>
    <w:lvl w:ilvl="1">
      <w:start w:val="1"/>
      <w:numFmt w:val="lowerLetter"/>
      <w:lvlText w:val="%2"/>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15">
    <w:nsid w:val="65A8327F"/>
    <w:multiLevelType w:val="multilevel"/>
    <w:tmpl w:val="005883FA"/>
    <w:numStyleLink w:val="Style1"/>
  </w:abstractNum>
  <w:abstractNum w:abstractNumId="16">
    <w:nsid w:val="670568D0"/>
    <w:multiLevelType w:val="hybridMultilevel"/>
    <w:tmpl w:val="9F32E558"/>
    <w:lvl w:ilvl="0" w:tplc="C204A680">
      <w:start w:val="1"/>
      <w:numFmt w:val="bullet"/>
      <w:lvlText w:val="-"/>
      <w:lvlJc w:val="left"/>
      <w:pPr>
        <w:ind w:left="720" w:hanging="360"/>
      </w:pPr>
      <w:rPr>
        <w:rFonts w:ascii="Courier New" w:hAnsi="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7D61AB"/>
    <w:multiLevelType w:val="hybridMultilevel"/>
    <w:tmpl w:val="70E6A1E4"/>
    <w:lvl w:ilvl="0" w:tplc="4D287BB2">
      <w:start w:val="1"/>
      <w:numFmt w:val="bullet"/>
      <w:lvlText w:val="•"/>
      <w:lvlJc w:val="left"/>
      <w:pPr>
        <w:tabs>
          <w:tab w:val="num" w:pos="720"/>
        </w:tabs>
        <w:ind w:left="720" w:hanging="360"/>
      </w:pPr>
      <w:rPr>
        <w:rFonts w:ascii="Times New Roman" w:hAnsi="Times New Roman" w:hint="default"/>
      </w:rPr>
    </w:lvl>
    <w:lvl w:ilvl="1" w:tplc="F09C5378" w:tentative="1">
      <w:start w:val="1"/>
      <w:numFmt w:val="bullet"/>
      <w:lvlText w:val="•"/>
      <w:lvlJc w:val="left"/>
      <w:pPr>
        <w:tabs>
          <w:tab w:val="num" w:pos="1440"/>
        </w:tabs>
        <w:ind w:left="1440" w:hanging="360"/>
      </w:pPr>
      <w:rPr>
        <w:rFonts w:ascii="Times New Roman" w:hAnsi="Times New Roman" w:hint="default"/>
      </w:rPr>
    </w:lvl>
    <w:lvl w:ilvl="2" w:tplc="A49EADA0" w:tentative="1">
      <w:start w:val="1"/>
      <w:numFmt w:val="bullet"/>
      <w:lvlText w:val="•"/>
      <w:lvlJc w:val="left"/>
      <w:pPr>
        <w:tabs>
          <w:tab w:val="num" w:pos="2160"/>
        </w:tabs>
        <w:ind w:left="2160" w:hanging="360"/>
      </w:pPr>
      <w:rPr>
        <w:rFonts w:ascii="Times New Roman" w:hAnsi="Times New Roman" w:hint="default"/>
      </w:rPr>
    </w:lvl>
    <w:lvl w:ilvl="3" w:tplc="5004153E" w:tentative="1">
      <w:start w:val="1"/>
      <w:numFmt w:val="bullet"/>
      <w:lvlText w:val="•"/>
      <w:lvlJc w:val="left"/>
      <w:pPr>
        <w:tabs>
          <w:tab w:val="num" w:pos="2880"/>
        </w:tabs>
        <w:ind w:left="2880" w:hanging="360"/>
      </w:pPr>
      <w:rPr>
        <w:rFonts w:ascii="Times New Roman" w:hAnsi="Times New Roman" w:hint="default"/>
      </w:rPr>
    </w:lvl>
    <w:lvl w:ilvl="4" w:tplc="546047A8" w:tentative="1">
      <w:start w:val="1"/>
      <w:numFmt w:val="bullet"/>
      <w:lvlText w:val="•"/>
      <w:lvlJc w:val="left"/>
      <w:pPr>
        <w:tabs>
          <w:tab w:val="num" w:pos="3600"/>
        </w:tabs>
        <w:ind w:left="3600" w:hanging="360"/>
      </w:pPr>
      <w:rPr>
        <w:rFonts w:ascii="Times New Roman" w:hAnsi="Times New Roman" w:hint="default"/>
      </w:rPr>
    </w:lvl>
    <w:lvl w:ilvl="5" w:tplc="6E5AF032" w:tentative="1">
      <w:start w:val="1"/>
      <w:numFmt w:val="bullet"/>
      <w:lvlText w:val="•"/>
      <w:lvlJc w:val="left"/>
      <w:pPr>
        <w:tabs>
          <w:tab w:val="num" w:pos="4320"/>
        </w:tabs>
        <w:ind w:left="4320" w:hanging="360"/>
      </w:pPr>
      <w:rPr>
        <w:rFonts w:ascii="Times New Roman" w:hAnsi="Times New Roman" w:hint="default"/>
      </w:rPr>
    </w:lvl>
    <w:lvl w:ilvl="6" w:tplc="49EC6BAC" w:tentative="1">
      <w:start w:val="1"/>
      <w:numFmt w:val="bullet"/>
      <w:lvlText w:val="•"/>
      <w:lvlJc w:val="left"/>
      <w:pPr>
        <w:tabs>
          <w:tab w:val="num" w:pos="5040"/>
        </w:tabs>
        <w:ind w:left="5040" w:hanging="360"/>
      </w:pPr>
      <w:rPr>
        <w:rFonts w:ascii="Times New Roman" w:hAnsi="Times New Roman" w:hint="default"/>
      </w:rPr>
    </w:lvl>
    <w:lvl w:ilvl="7" w:tplc="1CB0F56E" w:tentative="1">
      <w:start w:val="1"/>
      <w:numFmt w:val="bullet"/>
      <w:lvlText w:val="•"/>
      <w:lvlJc w:val="left"/>
      <w:pPr>
        <w:tabs>
          <w:tab w:val="num" w:pos="5760"/>
        </w:tabs>
        <w:ind w:left="5760" w:hanging="360"/>
      </w:pPr>
      <w:rPr>
        <w:rFonts w:ascii="Times New Roman" w:hAnsi="Times New Roman" w:hint="default"/>
      </w:rPr>
    </w:lvl>
    <w:lvl w:ilvl="8" w:tplc="2ECA434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EEC276F"/>
    <w:multiLevelType w:val="hybridMultilevel"/>
    <w:tmpl w:val="F16C6E90"/>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9">
    <w:nsid w:val="6F5A1A91"/>
    <w:multiLevelType w:val="hybridMultilevel"/>
    <w:tmpl w:val="5456BC7A"/>
    <w:lvl w:ilvl="0" w:tplc="A7061942">
      <w:start w:val="1"/>
      <w:numFmt w:val="lowerRoman"/>
      <w:lvlText w:val="%1)"/>
      <w:lvlJc w:val="right"/>
      <w:pPr>
        <w:ind w:left="1080" w:hanging="360"/>
      </w:pPr>
      <w:rPr>
        <w:rFonts w:hint="default"/>
        <w:color w:val="000000" w:themeColor="text1"/>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775C44BD"/>
    <w:multiLevelType w:val="hybridMultilevel"/>
    <w:tmpl w:val="AE740E54"/>
    <w:lvl w:ilvl="0" w:tplc="0C09000F">
      <w:start w:val="1"/>
      <w:numFmt w:val="decimal"/>
      <w:lvlText w:val="%1."/>
      <w:lvlJc w:val="lef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num w:numId="1">
    <w:abstractNumId w:val="0"/>
  </w:num>
  <w:num w:numId="2">
    <w:abstractNumId w:val="4"/>
  </w:num>
  <w:num w:numId="3">
    <w:abstractNumId w:val="16"/>
  </w:num>
  <w:num w:numId="4">
    <w:abstractNumId w:val="13"/>
  </w:num>
  <w:num w:numId="5">
    <w:abstractNumId w:val="10"/>
  </w:num>
  <w:num w:numId="6">
    <w:abstractNumId w:val="8"/>
  </w:num>
  <w:num w:numId="7">
    <w:abstractNumId w:val="19"/>
  </w:num>
  <w:num w:numId="8">
    <w:abstractNumId w:val="11"/>
  </w:num>
  <w:num w:numId="9">
    <w:abstractNumId w:val="9"/>
  </w:num>
  <w:num w:numId="10">
    <w:abstractNumId w:val="15"/>
  </w:num>
  <w:num w:numId="11">
    <w:abstractNumId w:val="2"/>
  </w:num>
  <w:num w:numId="12">
    <w:abstractNumId w:val="14"/>
  </w:num>
  <w:num w:numId="13">
    <w:abstractNumId w:val="7"/>
  </w:num>
  <w:num w:numId="14">
    <w:abstractNumId w:val="5"/>
  </w:num>
  <w:num w:numId="15">
    <w:abstractNumId w:val="1"/>
  </w:num>
  <w:num w:numId="16">
    <w:abstractNumId w:val="12"/>
  </w:num>
  <w:num w:numId="17">
    <w:abstractNumId w:val="13"/>
  </w:num>
  <w:num w:numId="18">
    <w:abstractNumId w:val="20"/>
  </w:num>
  <w:num w:numId="19">
    <w:abstractNumId w:val="18"/>
  </w:num>
  <w:num w:numId="20">
    <w:abstractNumId w:val="3"/>
  </w:num>
  <w:num w:numId="21">
    <w:abstractNumId w:val="17"/>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iko">
    <w15:presenceInfo w15:providerId="None" w15:userId="Keik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4965ED"/>
    <w:rsid w:val="00003632"/>
    <w:rsid w:val="00007187"/>
    <w:rsid w:val="000101E1"/>
    <w:rsid w:val="000205CC"/>
    <w:rsid w:val="00027061"/>
    <w:rsid w:val="000308D8"/>
    <w:rsid w:val="0003411A"/>
    <w:rsid w:val="00056FC3"/>
    <w:rsid w:val="00077086"/>
    <w:rsid w:val="00080A69"/>
    <w:rsid w:val="00095233"/>
    <w:rsid w:val="000A0F4A"/>
    <w:rsid w:val="000A1F35"/>
    <w:rsid w:val="000A29B2"/>
    <w:rsid w:val="000B17C6"/>
    <w:rsid w:val="000C1617"/>
    <w:rsid w:val="000D0CA7"/>
    <w:rsid w:val="000D2DD6"/>
    <w:rsid w:val="000E6709"/>
    <w:rsid w:val="000F6D85"/>
    <w:rsid w:val="00102952"/>
    <w:rsid w:val="001240A5"/>
    <w:rsid w:val="00126539"/>
    <w:rsid w:val="0013377A"/>
    <w:rsid w:val="00134D1C"/>
    <w:rsid w:val="00137489"/>
    <w:rsid w:val="0014554F"/>
    <w:rsid w:val="00150CCF"/>
    <w:rsid w:val="00160012"/>
    <w:rsid w:val="00160A2A"/>
    <w:rsid w:val="00163119"/>
    <w:rsid w:val="00164ABD"/>
    <w:rsid w:val="00171534"/>
    <w:rsid w:val="001772FF"/>
    <w:rsid w:val="00182E47"/>
    <w:rsid w:val="00185530"/>
    <w:rsid w:val="00193A46"/>
    <w:rsid w:val="0019509F"/>
    <w:rsid w:val="0019696E"/>
    <w:rsid w:val="001A67D3"/>
    <w:rsid w:val="001B2BBC"/>
    <w:rsid w:val="001D1722"/>
    <w:rsid w:val="001D33E9"/>
    <w:rsid w:val="001E3583"/>
    <w:rsid w:val="001F4C70"/>
    <w:rsid w:val="001F63CF"/>
    <w:rsid w:val="00203463"/>
    <w:rsid w:val="00225250"/>
    <w:rsid w:val="00230C0E"/>
    <w:rsid w:val="00237014"/>
    <w:rsid w:val="002423F7"/>
    <w:rsid w:val="00246A86"/>
    <w:rsid w:val="0025228D"/>
    <w:rsid w:val="002759EB"/>
    <w:rsid w:val="00277B04"/>
    <w:rsid w:val="00283084"/>
    <w:rsid w:val="00291B70"/>
    <w:rsid w:val="00294DD3"/>
    <w:rsid w:val="00296142"/>
    <w:rsid w:val="002B1552"/>
    <w:rsid w:val="002C028C"/>
    <w:rsid w:val="002C6A04"/>
    <w:rsid w:val="002E1C76"/>
    <w:rsid w:val="002E4532"/>
    <w:rsid w:val="002F4F2E"/>
    <w:rsid w:val="00302503"/>
    <w:rsid w:val="00306B97"/>
    <w:rsid w:val="00310DF2"/>
    <w:rsid w:val="00313FE1"/>
    <w:rsid w:val="00333786"/>
    <w:rsid w:val="00360C54"/>
    <w:rsid w:val="00374B78"/>
    <w:rsid w:val="00376459"/>
    <w:rsid w:val="003778C4"/>
    <w:rsid w:val="00383FF1"/>
    <w:rsid w:val="00392178"/>
    <w:rsid w:val="00394CC2"/>
    <w:rsid w:val="00396362"/>
    <w:rsid w:val="003C3132"/>
    <w:rsid w:val="003C66C2"/>
    <w:rsid w:val="003C7B87"/>
    <w:rsid w:val="003D02BB"/>
    <w:rsid w:val="003F630F"/>
    <w:rsid w:val="003F747E"/>
    <w:rsid w:val="004031C1"/>
    <w:rsid w:val="00410948"/>
    <w:rsid w:val="00432ECF"/>
    <w:rsid w:val="00443394"/>
    <w:rsid w:val="004468C1"/>
    <w:rsid w:val="00462499"/>
    <w:rsid w:val="00466C6E"/>
    <w:rsid w:val="0047310E"/>
    <w:rsid w:val="00475209"/>
    <w:rsid w:val="004965ED"/>
    <w:rsid w:val="00497263"/>
    <w:rsid w:val="004A6D42"/>
    <w:rsid w:val="004B50BD"/>
    <w:rsid w:val="004C1ED6"/>
    <w:rsid w:val="004D2303"/>
    <w:rsid w:val="004E1E2F"/>
    <w:rsid w:val="004E77E3"/>
    <w:rsid w:val="004F2124"/>
    <w:rsid w:val="004F564B"/>
    <w:rsid w:val="004F6739"/>
    <w:rsid w:val="004F74E8"/>
    <w:rsid w:val="005015BA"/>
    <w:rsid w:val="00507610"/>
    <w:rsid w:val="005139A2"/>
    <w:rsid w:val="00513C4A"/>
    <w:rsid w:val="00524F1B"/>
    <w:rsid w:val="00533FCA"/>
    <w:rsid w:val="00537094"/>
    <w:rsid w:val="00541B82"/>
    <w:rsid w:val="00543B48"/>
    <w:rsid w:val="00571932"/>
    <w:rsid w:val="005761C3"/>
    <w:rsid w:val="00576426"/>
    <w:rsid w:val="005816E4"/>
    <w:rsid w:val="00585C56"/>
    <w:rsid w:val="00586E10"/>
    <w:rsid w:val="005928CF"/>
    <w:rsid w:val="00596563"/>
    <w:rsid w:val="005B2D41"/>
    <w:rsid w:val="005B519B"/>
    <w:rsid w:val="005B5402"/>
    <w:rsid w:val="005C6F01"/>
    <w:rsid w:val="005F27B3"/>
    <w:rsid w:val="005F5726"/>
    <w:rsid w:val="0061319E"/>
    <w:rsid w:val="00622130"/>
    <w:rsid w:val="0063062C"/>
    <w:rsid w:val="00637ED3"/>
    <w:rsid w:val="006457DB"/>
    <w:rsid w:val="00645BB3"/>
    <w:rsid w:val="006544F1"/>
    <w:rsid w:val="006658A3"/>
    <w:rsid w:val="006746FD"/>
    <w:rsid w:val="00681165"/>
    <w:rsid w:val="006A1B84"/>
    <w:rsid w:val="006A2BB3"/>
    <w:rsid w:val="006B29C2"/>
    <w:rsid w:val="006D27FF"/>
    <w:rsid w:val="006D507A"/>
    <w:rsid w:val="006E638E"/>
    <w:rsid w:val="00703617"/>
    <w:rsid w:val="00705376"/>
    <w:rsid w:val="007167AA"/>
    <w:rsid w:val="0073437F"/>
    <w:rsid w:val="007436CB"/>
    <w:rsid w:val="00746FE2"/>
    <w:rsid w:val="00763DA6"/>
    <w:rsid w:val="00766EEE"/>
    <w:rsid w:val="00782B49"/>
    <w:rsid w:val="007832CD"/>
    <w:rsid w:val="00786835"/>
    <w:rsid w:val="00790902"/>
    <w:rsid w:val="00790E71"/>
    <w:rsid w:val="00791744"/>
    <w:rsid w:val="007930B3"/>
    <w:rsid w:val="0079353E"/>
    <w:rsid w:val="00797C38"/>
    <w:rsid w:val="007A29F5"/>
    <w:rsid w:val="007A38E1"/>
    <w:rsid w:val="007A7250"/>
    <w:rsid w:val="007B0E0B"/>
    <w:rsid w:val="007B4A5B"/>
    <w:rsid w:val="007D250A"/>
    <w:rsid w:val="007E0982"/>
    <w:rsid w:val="007E58D9"/>
    <w:rsid w:val="007E7DBE"/>
    <w:rsid w:val="00804A72"/>
    <w:rsid w:val="00805FB7"/>
    <w:rsid w:val="00810426"/>
    <w:rsid w:val="008114F1"/>
    <w:rsid w:val="008203B6"/>
    <w:rsid w:val="00827F1A"/>
    <w:rsid w:val="0084082C"/>
    <w:rsid w:val="00841F05"/>
    <w:rsid w:val="00844FDA"/>
    <w:rsid w:val="008739A8"/>
    <w:rsid w:val="00891626"/>
    <w:rsid w:val="00895047"/>
    <w:rsid w:val="008A72EF"/>
    <w:rsid w:val="008C5C58"/>
    <w:rsid w:val="008D2DE2"/>
    <w:rsid w:val="008E2E14"/>
    <w:rsid w:val="0090133C"/>
    <w:rsid w:val="00917774"/>
    <w:rsid w:val="00935D91"/>
    <w:rsid w:val="00941CD6"/>
    <w:rsid w:val="00942584"/>
    <w:rsid w:val="00956798"/>
    <w:rsid w:val="0096406D"/>
    <w:rsid w:val="00964927"/>
    <w:rsid w:val="0096751B"/>
    <w:rsid w:val="00970531"/>
    <w:rsid w:val="0097560C"/>
    <w:rsid w:val="0097706C"/>
    <w:rsid w:val="00982CBD"/>
    <w:rsid w:val="009861DE"/>
    <w:rsid w:val="0098694A"/>
    <w:rsid w:val="0099110F"/>
    <w:rsid w:val="00992F8E"/>
    <w:rsid w:val="00995087"/>
    <w:rsid w:val="009A2F2C"/>
    <w:rsid w:val="009A6DB2"/>
    <w:rsid w:val="009B045B"/>
    <w:rsid w:val="009B08AD"/>
    <w:rsid w:val="009C4B3D"/>
    <w:rsid w:val="009D191B"/>
    <w:rsid w:val="009D7D10"/>
    <w:rsid w:val="009E22D7"/>
    <w:rsid w:val="009F3BDA"/>
    <w:rsid w:val="009F57C7"/>
    <w:rsid w:val="00A02933"/>
    <w:rsid w:val="00A04BB9"/>
    <w:rsid w:val="00A10BE0"/>
    <w:rsid w:val="00A13CFC"/>
    <w:rsid w:val="00A211D0"/>
    <w:rsid w:val="00A22085"/>
    <w:rsid w:val="00A23B8D"/>
    <w:rsid w:val="00A247E7"/>
    <w:rsid w:val="00A36276"/>
    <w:rsid w:val="00A37B67"/>
    <w:rsid w:val="00A411BD"/>
    <w:rsid w:val="00A448BA"/>
    <w:rsid w:val="00A46F5C"/>
    <w:rsid w:val="00A528AF"/>
    <w:rsid w:val="00A64702"/>
    <w:rsid w:val="00A77180"/>
    <w:rsid w:val="00A77E5C"/>
    <w:rsid w:val="00A83491"/>
    <w:rsid w:val="00A84F07"/>
    <w:rsid w:val="00A95829"/>
    <w:rsid w:val="00AA49B2"/>
    <w:rsid w:val="00AA7A29"/>
    <w:rsid w:val="00AB2F7E"/>
    <w:rsid w:val="00AB337B"/>
    <w:rsid w:val="00AC3CCC"/>
    <w:rsid w:val="00AD4FFD"/>
    <w:rsid w:val="00AE2F08"/>
    <w:rsid w:val="00AF153C"/>
    <w:rsid w:val="00B04F19"/>
    <w:rsid w:val="00B055EE"/>
    <w:rsid w:val="00B06CBF"/>
    <w:rsid w:val="00B10392"/>
    <w:rsid w:val="00B124F5"/>
    <w:rsid w:val="00B20B2E"/>
    <w:rsid w:val="00B21B12"/>
    <w:rsid w:val="00B407FD"/>
    <w:rsid w:val="00B7144E"/>
    <w:rsid w:val="00B71ECB"/>
    <w:rsid w:val="00B73199"/>
    <w:rsid w:val="00B755AE"/>
    <w:rsid w:val="00B81D06"/>
    <w:rsid w:val="00B83216"/>
    <w:rsid w:val="00B852B4"/>
    <w:rsid w:val="00B8683E"/>
    <w:rsid w:val="00BA0263"/>
    <w:rsid w:val="00BA58C3"/>
    <w:rsid w:val="00BB44FE"/>
    <w:rsid w:val="00BB483D"/>
    <w:rsid w:val="00BC6B92"/>
    <w:rsid w:val="00BC7A56"/>
    <w:rsid w:val="00BE3DC1"/>
    <w:rsid w:val="00BE4472"/>
    <w:rsid w:val="00BE61FF"/>
    <w:rsid w:val="00BE7210"/>
    <w:rsid w:val="00BF399F"/>
    <w:rsid w:val="00BF4C62"/>
    <w:rsid w:val="00BF60A4"/>
    <w:rsid w:val="00C108C3"/>
    <w:rsid w:val="00C11083"/>
    <w:rsid w:val="00C12114"/>
    <w:rsid w:val="00C152CB"/>
    <w:rsid w:val="00C16591"/>
    <w:rsid w:val="00C25CCC"/>
    <w:rsid w:val="00C32E1A"/>
    <w:rsid w:val="00C40319"/>
    <w:rsid w:val="00C45AA6"/>
    <w:rsid w:val="00C61B58"/>
    <w:rsid w:val="00C62108"/>
    <w:rsid w:val="00C770B4"/>
    <w:rsid w:val="00C86728"/>
    <w:rsid w:val="00C8754D"/>
    <w:rsid w:val="00C95B59"/>
    <w:rsid w:val="00C97859"/>
    <w:rsid w:val="00CB17EF"/>
    <w:rsid w:val="00CB68F5"/>
    <w:rsid w:val="00CB7711"/>
    <w:rsid w:val="00CC0F2F"/>
    <w:rsid w:val="00CC20C3"/>
    <w:rsid w:val="00CF15F4"/>
    <w:rsid w:val="00CF5C7F"/>
    <w:rsid w:val="00D133AF"/>
    <w:rsid w:val="00D202EE"/>
    <w:rsid w:val="00D23A01"/>
    <w:rsid w:val="00D262DD"/>
    <w:rsid w:val="00D26FFA"/>
    <w:rsid w:val="00D30B84"/>
    <w:rsid w:val="00D538CE"/>
    <w:rsid w:val="00D5478C"/>
    <w:rsid w:val="00D73515"/>
    <w:rsid w:val="00D9086A"/>
    <w:rsid w:val="00D9508C"/>
    <w:rsid w:val="00DD0609"/>
    <w:rsid w:val="00DD5299"/>
    <w:rsid w:val="00DE41B2"/>
    <w:rsid w:val="00DE7DC4"/>
    <w:rsid w:val="00DF06C9"/>
    <w:rsid w:val="00DF2673"/>
    <w:rsid w:val="00DF31CB"/>
    <w:rsid w:val="00DF61E7"/>
    <w:rsid w:val="00E15818"/>
    <w:rsid w:val="00E320D2"/>
    <w:rsid w:val="00E41366"/>
    <w:rsid w:val="00E42CCB"/>
    <w:rsid w:val="00E50CF8"/>
    <w:rsid w:val="00E66BAA"/>
    <w:rsid w:val="00E92E02"/>
    <w:rsid w:val="00EA3C04"/>
    <w:rsid w:val="00EA7C6F"/>
    <w:rsid w:val="00EB1056"/>
    <w:rsid w:val="00EB4F9C"/>
    <w:rsid w:val="00EC0ABC"/>
    <w:rsid w:val="00EC0AD0"/>
    <w:rsid w:val="00EC6F50"/>
    <w:rsid w:val="00EF5F18"/>
    <w:rsid w:val="00F05105"/>
    <w:rsid w:val="00F23A51"/>
    <w:rsid w:val="00F440AA"/>
    <w:rsid w:val="00F53DBD"/>
    <w:rsid w:val="00F65C00"/>
    <w:rsid w:val="00F774E1"/>
    <w:rsid w:val="00F9497C"/>
    <w:rsid w:val="00FA2328"/>
    <w:rsid w:val="00FB0977"/>
    <w:rsid w:val="00FD2FC2"/>
    <w:rsid w:val="00FD3010"/>
    <w:rsid w:val="00FD5464"/>
    <w:rsid w:val="00FE2D28"/>
    <w:rsid w:val="00FE6E57"/>
    <w:rsid w:val="00FF1EC7"/>
    <w:rsid w:val="00FF4D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1056"/>
    <w:pPr>
      <w:spacing w:after="120" w:line="320" w:lineRule="atLeast"/>
      <w:jc w:val="both"/>
    </w:pPr>
    <w:rPr>
      <w:rFonts w:ascii="Times New Roman" w:hAnsi="Times New Roman"/>
      <w:sz w:val="28"/>
      <w:szCs w:val="28"/>
      <w:lang w:val="de-DE" w:eastAsia="de-DE"/>
    </w:rPr>
  </w:style>
  <w:style w:type="paragraph" w:styleId="Heading1">
    <w:name w:val="heading 1"/>
    <w:basedOn w:val="Normal"/>
    <w:next w:val="Normal"/>
    <w:link w:val="Heading1Char"/>
    <w:uiPriority w:val="9"/>
    <w:rsid w:val="00EB10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45AA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0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1056"/>
    <w:rPr>
      <w:rFonts w:ascii="Times New Roman" w:hAnsi="Times New Roman"/>
      <w:sz w:val="28"/>
      <w:szCs w:val="28"/>
      <w:lang w:val="de-DE" w:eastAsia="de-DE"/>
    </w:rPr>
  </w:style>
  <w:style w:type="paragraph" w:styleId="Footer">
    <w:name w:val="footer"/>
    <w:basedOn w:val="Normal"/>
    <w:link w:val="FooterChar"/>
    <w:uiPriority w:val="99"/>
    <w:unhideWhenUsed/>
    <w:rsid w:val="00EB1056"/>
    <w:pPr>
      <w:pBdr>
        <w:top w:val="single" w:sz="4" w:space="1" w:color="auto"/>
      </w:pBdr>
      <w:tabs>
        <w:tab w:val="center" w:pos="4536"/>
        <w:tab w:val="right" w:pos="9072"/>
      </w:tabs>
      <w:spacing w:after="0" w:line="240" w:lineRule="auto"/>
    </w:pPr>
  </w:style>
  <w:style w:type="character" w:customStyle="1" w:styleId="FooterChar">
    <w:name w:val="Footer Char"/>
    <w:basedOn w:val="DefaultParagraphFont"/>
    <w:link w:val="Footer"/>
    <w:uiPriority w:val="99"/>
    <w:rsid w:val="00EB1056"/>
    <w:rPr>
      <w:rFonts w:ascii="Times New Roman" w:hAnsi="Times New Roman"/>
      <w:sz w:val="28"/>
      <w:szCs w:val="28"/>
      <w:lang w:val="de-DE" w:eastAsia="de-DE"/>
    </w:rPr>
  </w:style>
  <w:style w:type="paragraph" w:styleId="BalloonText">
    <w:name w:val="Balloon Text"/>
    <w:basedOn w:val="Normal"/>
    <w:link w:val="BalloonTextChar"/>
    <w:uiPriority w:val="99"/>
    <w:semiHidden/>
    <w:unhideWhenUsed/>
    <w:rsid w:val="00EB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056"/>
    <w:rPr>
      <w:rFonts w:ascii="Tahoma" w:hAnsi="Tahoma" w:cs="Tahoma"/>
      <w:sz w:val="16"/>
      <w:szCs w:val="16"/>
      <w:lang w:val="de-DE" w:eastAsia="de-DE"/>
    </w:rPr>
  </w:style>
  <w:style w:type="character" w:styleId="PlaceholderText">
    <w:name w:val="Placeholder Text"/>
    <w:basedOn w:val="DefaultParagraphFont"/>
    <w:uiPriority w:val="99"/>
    <w:semiHidden/>
    <w:rsid w:val="00164ABD"/>
    <w:rPr>
      <w:color w:val="808080"/>
    </w:rPr>
  </w:style>
  <w:style w:type="paragraph" w:styleId="ListParagraph">
    <w:name w:val="List Paragraph"/>
    <w:basedOn w:val="Normal"/>
    <w:uiPriority w:val="34"/>
    <w:qFormat/>
    <w:rsid w:val="00533FCA"/>
    <w:pPr>
      <w:ind w:left="720"/>
      <w:contextualSpacing/>
    </w:pPr>
  </w:style>
  <w:style w:type="character" w:styleId="Emphasis">
    <w:name w:val="Emphasis"/>
    <w:basedOn w:val="DefaultParagraphFont"/>
    <w:uiPriority w:val="20"/>
    <w:qFormat/>
    <w:rsid w:val="00BF4C62"/>
    <w:rPr>
      <w:i/>
      <w:iCs/>
    </w:rPr>
  </w:style>
  <w:style w:type="character" w:customStyle="1" w:styleId="Heading2Char">
    <w:name w:val="Heading 2 Char"/>
    <w:basedOn w:val="DefaultParagraphFont"/>
    <w:link w:val="Heading2"/>
    <w:uiPriority w:val="9"/>
    <w:rsid w:val="00C45AA6"/>
    <w:rPr>
      <w:rFonts w:ascii="Times New Roman" w:eastAsia="Times New Roman" w:hAnsi="Times New Roman" w:cs="Times New Roman"/>
      <w:b/>
      <w:bCs/>
      <w:sz w:val="36"/>
      <w:szCs w:val="36"/>
      <w:lang w:val="en-AU"/>
    </w:rPr>
  </w:style>
  <w:style w:type="paragraph" w:customStyle="1" w:styleId="Default">
    <w:name w:val="Default"/>
    <w:rsid w:val="00C45AA6"/>
    <w:pPr>
      <w:autoSpaceDE w:val="0"/>
      <w:autoSpaceDN w:val="0"/>
      <w:adjustRightInd w:val="0"/>
      <w:spacing w:after="0" w:line="240" w:lineRule="auto"/>
    </w:pPr>
    <w:rPr>
      <w:rFonts w:ascii="Calibri" w:hAnsi="Calibri" w:cs="Calibri"/>
      <w:color w:val="000000"/>
      <w:sz w:val="24"/>
      <w:szCs w:val="24"/>
      <w:lang w:val="en-AU"/>
    </w:rPr>
  </w:style>
  <w:style w:type="character" w:styleId="CommentReference">
    <w:name w:val="annotation reference"/>
    <w:basedOn w:val="DefaultParagraphFont"/>
    <w:uiPriority w:val="99"/>
    <w:semiHidden/>
    <w:unhideWhenUsed/>
    <w:rsid w:val="00137489"/>
    <w:rPr>
      <w:sz w:val="16"/>
      <w:szCs w:val="16"/>
    </w:rPr>
  </w:style>
  <w:style w:type="paragraph" w:styleId="CommentText">
    <w:name w:val="annotation text"/>
    <w:basedOn w:val="Normal"/>
    <w:link w:val="CommentTextChar"/>
    <w:uiPriority w:val="99"/>
    <w:semiHidden/>
    <w:unhideWhenUsed/>
    <w:rsid w:val="00137489"/>
    <w:pPr>
      <w:spacing w:line="240" w:lineRule="auto"/>
    </w:pPr>
    <w:rPr>
      <w:sz w:val="20"/>
      <w:szCs w:val="20"/>
    </w:rPr>
  </w:style>
  <w:style w:type="character" w:customStyle="1" w:styleId="CommentTextChar">
    <w:name w:val="Comment Text Char"/>
    <w:basedOn w:val="DefaultParagraphFont"/>
    <w:link w:val="CommentText"/>
    <w:uiPriority w:val="99"/>
    <w:semiHidden/>
    <w:rsid w:val="00137489"/>
    <w:rPr>
      <w:sz w:val="20"/>
      <w:szCs w:val="20"/>
      <w:lang w:val="en-AU"/>
    </w:rPr>
  </w:style>
  <w:style w:type="paragraph" w:styleId="CommentSubject">
    <w:name w:val="annotation subject"/>
    <w:basedOn w:val="CommentText"/>
    <w:next w:val="CommentText"/>
    <w:link w:val="CommentSubjectChar"/>
    <w:uiPriority w:val="99"/>
    <w:semiHidden/>
    <w:unhideWhenUsed/>
    <w:rsid w:val="00137489"/>
    <w:rPr>
      <w:b/>
      <w:bCs/>
    </w:rPr>
  </w:style>
  <w:style w:type="character" w:customStyle="1" w:styleId="CommentSubjectChar">
    <w:name w:val="Comment Subject Char"/>
    <w:basedOn w:val="CommentTextChar"/>
    <w:link w:val="CommentSubject"/>
    <w:uiPriority w:val="99"/>
    <w:semiHidden/>
    <w:rsid w:val="00137489"/>
    <w:rPr>
      <w:b/>
      <w:bCs/>
      <w:sz w:val="20"/>
      <w:szCs w:val="20"/>
      <w:lang w:val="en-AU"/>
    </w:rPr>
  </w:style>
  <w:style w:type="character" w:styleId="Hyperlink">
    <w:name w:val="Hyperlink"/>
    <w:basedOn w:val="DefaultParagraphFont"/>
    <w:uiPriority w:val="99"/>
    <w:unhideWhenUsed/>
    <w:rsid w:val="00F774E1"/>
    <w:rPr>
      <w:color w:val="0000FF" w:themeColor="hyperlink"/>
      <w:u w:val="single"/>
    </w:rPr>
  </w:style>
  <w:style w:type="character" w:styleId="FollowedHyperlink">
    <w:name w:val="FollowedHyperlink"/>
    <w:basedOn w:val="DefaultParagraphFont"/>
    <w:uiPriority w:val="99"/>
    <w:semiHidden/>
    <w:unhideWhenUsed/>
    <w:rsid w:val="00F774E1"/>
    <w:rPr>
      <w:color w:val="800080" w:themeColor="followedHyperlink"/>
      <w:u w:val="single"/>
    </w:rPr>
  </w:style>
  <w:style w:type="character" w:styleId="Strong">
    <w:name w:val="Strong"/>
    <w:basedOn w:val="DefaultParagraphFont"/>
    <w:uiPriority w:val="22"/>
    <w:qFormat/>
    <w:rsid w:val="00F774E1"/>
    <w:rPr>
      <w:b/>
      <w:bCs/>
    </w:rPr>
  </w:style>
  <w:style w:type="character" w:customStyle="1" w:styleId="Heading1Char">
    <w:name w:val="Heading 1 Char"/>
    <w:basedOn w:val="DefaultParagraphFont"/>
    <w:link w:val="Heading1"/>
    <w:uiPriority w:val="9"/>
    <w:rsid w:val="00EB1056"/>
    <w:rPr>
      <w:rFonts w:asciiTheme="majorHAnsi" w:eastAsiaTheme="majorEastAsia" w:hAnsiTheme="majorHAnsi" w:cstheme="majorBidi"/>
      <w:b/>
      <w:bCs/>
      <w:color w:val="345A8A" w:themeColor="accent1" w:themeShade="B5"/>
      <w:sz w:val="32"/>
      <w:szCs w:val="32"/>
      <w:lang w:val="de-DE" w:eastAsia="de-DE"/>
    </w:rPr>
  </w:style>
  <w:style w:type="paragraph" w:customStyle="1" w:styleId="ICMENormal">
    <w:name w:val="ICME Normal"/>
    <w:qFormat/>
    <w:rsid w:val="00AF153C"/>
    <w:pPr>
      <w:spacing w:after="120" w:line="320" w:lineRule="atLeast"/>
      <w:jc w:val="both"/>
    </w:pPr>
    <w:rPr>
      <w:rFonts w:ascii="Times New Roman" w:hAnsi="Times New Roman"/>
      <w:sz w:val="24"/>
      <w:szCs w:val="28"/>
      <w:lang w:eastAsia="de-DE"/>
    </w:rPr>
  </w:style>
  <w:style w:type="paragraph" w:customStyle="1" w:styleId="ICMEAbstract">
    <w:name w:val="ICME Abstract"/>
    <w:basedOn w:val="ICMENormal"/>
    <w:qFormat/>
    <w:rsid w:val="00AF153C"/>
    <w:pPr>
      <w:spacing w:after="240"/>
    </w:pPr>
    <w:rPr>
      <w:i/>
    </w:rPr>
  </w:style>
  <w:style w:type="paragraph" w:customStyle="1" w:styleId="ICMEAuthorInstitution">
    <w:name w:val="ICME Author/Institution"/>
    <w:basedOn w:val="ICMENormal"/>
    <w:qFormat/>
    <w:rsid w:val="00AF153C"/>
    <w:pPr>
      <w:jc w:val="center"/>
    </w:pPr>
  </w:style>
  <w:style w:type="paragraph" w:customStyle="1" w:styleId="ICMEBaselineFirstPage">
    <w:name w:val="ICME Baseline First Page"/>
    <w:basedOn w:val="ICMENormal"/>
    <w:qFormat/>
    <w:rsid w:val="00AF153C"/>
    <w:pPr>
      <w:spacing w:after="0" w:line="240" w:lineRule="auto"/>
    </w:pPr>
    <w:rPr>
      <w:sz w:val="21"/>
      <w:szCs w:val="21"/>
    </w:rPr>
  </w:style>
  <w:style w:type="paragraph" w:customStyle="1" w:styleId="PMEFigTitle">
    <w:name w:val="PME Fig Title"/>
    <w:basedOn w:val="ICMENormal"/>
    <w:next w:val="ICMENormal"/>
    <w:rsid w:val="00AF153C"/>
    <w:pPr>
      <w:spacing w:before="120"/>
      <w:jc w:val="center"/>
    </w:pPr>
  </w:style>
  <w:style w:type="paragraph" w:customStyle="1" w:styleId="ICMEFigTitle">
    <w:name w:val="ICME Fig Title"/>
    <w:basedOn w:val="PMEFigTitle"/>
    <w:qFormat/>
    <w:rsid w:val="00AF153C"/>
  </w:style>
  <w:style w:type="paragraph" w:customStyle="1" w:styleId="ICMEHeading1">
    <w:name w:val="ICME Heading 1"/>
    <w:basedOn w:val="ICMENormal"/>
    <w:qFormat/>
    <w:rsid w:val="00AF153C"/>
    <w:pPr>
      <w:keepNext/>
      <w:spacing w:before="120"/>
      <w:jc w:val="center"/>
      <w:outlineLvl w:val="0"/>
    </w:pPr>
    <w:rPr>
      <w:b/>
      <w:bCs/>
      <w:caps/>
      <w:sz w:val="28"/>
      <w:szCs w:val="32"/>
    </w:rPr>
  </w:style>
  <w:style w:type="paragraph" w:customStyle="1" w:styleId="ICMEHeading2">
    <w:name w:val="ICME Heading 2"/>
    <w:basedOn w:val="Normal"/>
    <w:qFormat/>
    <w:rsid w:val="00AF153C"/>
    <w:pPr>
      <w:keepNext/>
      <w:spacing w:before="120"/>
      <w:outlineLvl w:val="1"/>
    </w:pPr>
    <w:rPr>
      <w:b/>
      <w:bCs/>
      <w:caps/>
      <w:kern w:val="28"/>
      <w:sz w:val="24"/>
    </w:rPr>
  </w:style>
  <w:style w:type="paragraph" w:customStyle="1" w:styleId="ICMEHeading3">
    <w:name w:val="ICME Heading 3"/>
    <w:basedOn w:val="Normal"/>
    <w:qFormat/>
    <w:rsid w:val="00AF153C"/>
    <w:pPr>
      <w:keepNext/>
      <w:outlineLvl w:val="2"/>
    </w:pPr>
    <w:rPr>
      <w:b/>
      <w:sz w:val="24"/>
    </w:rPr>
  </w:style>
  <w:style w:type="paragraph" w:customStyle="1" w:styleId="ICMEHeadline">
    <w:name w:val="ICME Headline"/>
    <w:basedOn w:val="Normal"/>
    <w:rsid w:val="00AF153C"/>
    <w:rPr>
      <w:i/>
    </w:rPr>
  </w:style>
  <w:style w:type="paragraph" w:customStyle="1" w:styleId="ICMENumberedTranscript">
    <w:name w:val="ICME Numbered Transcript"/>
    <w:basedOn w:val="ICMENormal"/>
    <w:qFormat/>
    <w:rsid w:val="00AF153C"/>
    <w:pPr>
      <w:tabs>
        <w:tab w:val="left" w:pos="992"/>
      </w:tabs>
      <w:spacing w:line="260" w:lineRule="atLeast"/>
      <w:ind w:left="1843" w:hanging="1440"/>
    </w:pPr>
  </w:style>
  <w:style w:type="paragraph" w:customStyle="1" w:styleId="ICMEQuote">
    <w:name w:val="ICME Quote"/>
    <w:basedOn w:val="ICMENormal"/>
    <w:next w:val="ICMENormal"/>
    <w:qFormat/>
    <w:rsid w:val="00AF153C"/>
    <w:pPr>
      <w:spacing w:line="260" w:lineRule="atLeast"/>
      <w:ind w:left="289"/>
    </w:pPr>
    <w:rPr>
      <w:sz w:val="22"/>
      <w:szCs w:val="26"/>
    </w:rPr>
  </w:style>
  <w:style w:type="paragraph" w:customStyle="1" w:styleId="ICMEReferences">
    <w:name w:val="ICME References"/>
    <w:basedOn w:val="ICMENormal"/>
    <w:qFormat/>
    <w:rsid w:val="00AF153C"/>
    <w:pPr>
      <w:spacing w:line="260" w:lineRule="atLeast"/>
      <w:ind w:left="289" w:hanging="289"/>
    </w:pPr>
    <w:rPr>
      <w:sz w:val="22"/>
      <w:szCs w:val="26"/>
    </w:rPr>
  </w:style>
  <w:style w:type="paragraph" w:customStyle="1" w:styleId="ICMETranscript">
    <w:name w:val="ICME Transcript"/>
    <w:basedOn w:val="ICMENormal"/>
    <w:qFormat/>
    <w:rsid w:val="00AF153C"/>
    <w:pPr>
      <w:spacing w:line="260" w:lineRule="atLeast"/>
      <w:ind w:left="1843" w:hanging="1440"/>
    </w:pPr>
    <w:rPr>
      <w:sz w:val="22"/>
      <w:szCs w:val="26"/>
    </w:rPr>
  </w:style>
  <w:style w:type="paragraph" w:customStyle="1" w:styleId="PMEBaseline">
    <w:name w:val="PME Baseline"/>
    <w:basedOn w:val="ICMENormal"/>
    <w:rsid w:val="00AF153C"/>
    <w:pPr>
      <w:tabs>
        <w:tab w:val="right" w:pos="9639"/>
      </w:tabs>
    </w:pPr>
  </w:style>
  <w:style w:type="paragraph" w:customStyle="1" w:styleId="PMEBullet">
    <w:name w:val="PME Bullet"/>
    <w:basedOn w:val="ICMENormal"/>
    <w:rsid w:val="00AF153C"/>
    <w:pPr>
      <w:numPr>
        <w:numId w:val="17"/>
      </w:numPr>
      <w:spacing w:after="0"/>
    </w:pPr>
  </w:style>
  <w:style w:type="table" w:styleId="TableGrid">
    <w:name w:val="Table Grid"/>
    <w:basedOn w:val="TableNormal"/>
    <w:uiPriority w:val="59"/>
    <w:rsid w:val="00EB1056"/>
    <w:pPr>
      <w:spacing w:after="0" w:line="240" w:lineRule="auto"/>
    </w:pPr>
    <w:rPr>
      <w:rFonts w:ascii="Times New Roman" w:hAnsi="Times New Roman"/>
      <w:sz w:val="28"/>
      <w:szCs w:val="28"/>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3F630F"/>
    <w:pPr>
      <w:numPr>
        <w:numId w:val="12"/>
      </w:numPr>
    </w:pPr>
  </w:style>
  <w:style w:type="character" w:customStyle="1" w:styleId="apple-converted-space">
    <w:name w:val="apple-converted-space"/>
    <w:basedOn w:val="DefaultParagraphFont"/>
    <w:rsid w:val="00FE6E57"/>
  </w:style>
  <w:style w:type="paragraph" w:styleId="NormalWeb">
    <w:name w:val="Normal (Web)"/>
    <w:basedOn w:val="Normal"/>
    <w:uiPriority w:val="99"/>
    <w:semiHidden/>
    <w:unhideWhenUsed/>
    <w:rsid w:val="00827F1A"/>
    <w:pPr>
      <w:spacing w:before="100" w:beforeAutospacing="1" w:after="100" w:afterAutospacing="1" w:line="240" w:lineRule="auto"/>
      <w:jc w:val="left"/>
    </w:pPr>
    <w:rPr>
      <w:rFonts w:eastAsia="Times New Roman" w:cs="Times New Roman"/>
      <w:sz w:val="24"/>
      <w:szCs w:val="24"/>
      <w:lang w:val="en-GB" w:eastAsia="en-GB"/>
    </w:rPr>
  </w:style>
  <w:style w:type="character" w:customStyle="1" w:styleId="currenthithighlight">
    <w:name w:val="currenthithighlight"/>
    <w:basedOn w:val="DefaultParagraphFont"/>
    <w:rsid w:val="003778C4"/>
  </w:style>
  <w:style w:type="character" w:customStyle="1" w:styleId="highlight">
    <w:name w:val="highlight"/>
    <w:basedOn w:val="DefaultParagraphFont"/>
    <w:rsid w:val="00377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1056"/>
    <w:pPr>
      <w:spacing w:after="120" w:line="320" w:lineRule="atLeast"/>
      <w:jc w:val="both"/>
    </w:pPr>
    <w:rPr>
      <w:rFonts w:ascii="Times New Roman" w:hAnsi="Times New Roman"/>
      <w:sz w:val="28"/>
      <w:szCs w:val="28"/>
      <w:lang w:val="de-DE" w:eastAsia="de-DE"/>
    </w:rPr>
  </w:style>
  <w:style w:type="paragraph" w:styleId="Heading1">
    <w:name w:val="heading 1"/>
    <w:basedOn w:val="Normal"/>
    <w:next w:val="Normal"/>
    <w:link w:val="Heading1Char"/>
    <w:uiPriority w:val="9"/>
    <w:rsid w:val="00EB10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45AA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0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1056"/>
    <w:rPr>
      <w:rFonts w:ascii="Times New Roman" w:hAnsi="Times New Roman"/>
      <w:sz w:val="28"/>
      <w:szCs w:val="28"/>
      <w:lang w:val="de-DE" w:eastAsia="de-DE"/>
    </w:rPr>
  </w:style>
  <w:style w:type="paragraph" w:styleId="Footer">
    <w:name w:val="footer"/>
    <w:basedOn w:val="Normal"/>
    <w:link w:val="FooterChar"/>
    <w:uiPriority w:val="99"/>
    <w:unhideWhenUsed/>
    <w:rsid w:val="00EB1056"/>
    <w:pPr>
      <w:pBdr>
        <w:top w:val="single" w:sz="4" w:space="1" w:color="auto"/>
      </w:pBdr>
      <w:tabs>
        <w:tab w:val="center" w:pos="4536"/>
        <w:tab w:val="right" w:pos="9072"/>
      </w:tabs>
      <w:spacing w:after="0" w:line="240" w:lineRule="auto"/>
    </w:pPr>
  </w:style>
  <w:style w:type="character" w:customStyle="1" w:styleId="FooterChar">
    <w:name w:val="Footer Char"/>
    <w:basedOn w:val="DefaultParagraphFont"/>
    <w:link w:val="Footer"/>
    <w:uiPriority w:val="99"/>
    <w:rsid w:val="00EB1056"/>
    <w:rPr>
      <w:rFonts w:ascii="Times New Roman" w:hAnsi="Times New Roman"/>
      <w:sz w:val="28"/>
      <w:szCs w:val="28"/>
      <w:lang w:val="de-DE" w:eastAsia="de-DE"/>
    </w:rPr>
  </w:style>
  <w:style w:type="paragraph" w:styleId="BalloonText">
    <w:name w:val="Balloon Text"/>
    <w:basedOn w:val="Normal"/>
    <w:link w:val="BalloonTextChar"/>
    <w:uiPriority w:val="99"/>
    <w:semiHidden/>
    <w:unhideWhenUsed/>
    <w:rsid w:val="00EB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056"/>
    <w:rPr>
      <w:rFonts w:ascii="Tahoma" w:hAnsi="Tahoma" w:cs="Tahoma"/>
      <w:sz w:val="16"/>
      <w:szCs w:val="16"/>
      <w:lang w:val="de-DE" w:eastAsia="de-DE"/>
    </w:rPr>
  </w:style>
  <w:style w:type="character" w:styleId="PlaceholderText">
    <w:name w:val="Placeholder Text"/>
    <w:basedOn w:val="DefaultParagraphFont"/>
    <w:uiPriority w:val="99"/>
    <w:semiHidden/>
    <w:rsid w:val="00164ABD"/>
    <w:rPr>
      <w:color w:val="808080"/>
    </w:rPr>
  </w:style>
  <w:style w:type="paragraph" w:styleId="ListParagraph">
    <w:name w:val="List Paragraph"/>
    <w:basedOn w:val="Normal"/>
    <w:uiPriority w:val="34"/>
    <w:qFormat/>
    <w:rsid w:val="00533FCA"/>
    <w:pPr>
      <w:ind w:left="720"/>
      <w:contextualSpacing/>
    </w:pPr>
  </w:style>
  <w:style w:type="character" w:styleId="Emphasis">
    <w:name w:val="Emphasis"/>
    <w:basedOn w:val="DefaultParagraphFont"/>
    <w:uiPriority w:val="20"/>
    <w:qFormat/>
    <w:rsid w:val="00BF4C62"/>
    <w:rPr>
      <w:i/>
      <w:iCs/>
    </w:rPr>
  </w:style>
  <w:style w:type="character" w:customStyle="1" w:styleId="Heading2Char">
    <w:name w:val="Heading 2 Char"/>
    <w:basedOn w:val="DefaultParagraphFont"/>
    <w:link w:val="Heading2"/>
    <w:uiPriority w:val="9"/>
    <w:rsid w:val="00C45AA6"/>
    <w:rPr>
      <w:rFonts w:ascii="Times New Roman" w:eastAsia="Times New Roman" w:hAnsi="Times New Roman" w:cs="Times New Roman"/>
      <w:b/>
      <w:bCs/>
      <w:sz w:val="36"/>
      <w:szCs w:val="36"/>
      <w:lang w:val="en-AU"/>
    </w:rPr>
  </w:style>
  <w:style w:type="paragraph" w:customStyle="1" w:styleId="Default">
    <w:name w:val="Default"/>
    <w:rsid w:val="00C45AA6"/>
    <w:pPr>
      <w:autoSpaceDE w:val="0"/>
      <w:autoSpaceDN w:val="0"/>
      <w:adjustRightInd w:val="0"/>
      <w:spacing w:after="0" w:line="240" w:lineRule="auto"/>
    </w:pPr>
    <w:rPr>
      <w:rFonts w:ascii="Calibri" w:hAnsi="Calibri" w:cs="Calibri"/>
      <w:color w:val="000000"/>
      <w:sz w:val="24"/>
      <w:szCs w:val="24"/>
      <w:lang w:val="en-AU"/>
    </w:rPr>
  </w:style>
  <w:style w:type="character" w:styleId="CommentReference">
    <w:name w:val="annotation reference"/>
    <w:basedOn w:val="DefaultParagraphFont"/>
    <w:uiPriority w:val="99"/>
    <w:semiHidden/>
    <w:unhideWhenUsed/>
    <w:rsid w:val="00137489"/>
    <w:rPr>
      <w:sz w:val="16"/>
      <w:szCs w:val="16"/>
    </w:rPr>
  </w:style>
  <w:style w:type="paragraph" w:styleId="CommentText">
    <w:name w:val="annotation text"/>
    <w:basedOn w:val="Normal"/>
    <w:link w:val="CommentTextChar"/>
    <w:uiPriority w:val="99"/>
    <w:semiHidden/>
    <w:unhideWhenUsed/>
    <w:rsid w:val="00137489"/>
    <w:pPr>
      <w:spacing w:line="240" w:lineRule="auto"/>
    </w:pPr>
    <w:rPr>
      <w:sz w:val="20"/>
      <w:szCs w:val="20"/>
    </w:rPr>
  </w:style>
  <w:style w:type="character" w:customStyle="1" w:styleId="CommentTextChar">
    <w:name w:val="Comment Text Char"/>
    <w:basedOn w:val="DefaultParagraphFont"/>
    <w:link w:val="CommentText"/>
    <w:uiPriority w:val="99"/>
    <w:semiHidden/>
    <w:rsid w:val="00137489"/>
    <w:rPr>
      <w:sz w:val="20"/>
      <w:szCs w:val="20"/>
      <w:lang w:val="en-AU"/>
    </w:rPr>
  </w:style>
  <w:style w:type="paragraph" w:styleId="CommentSubject">
    <w:name w:val="annotation subject"/>
    <w:basedOn w:val="CommentText"/>
    <w:next w:val="CommentText"/>
    <w:link w:val="CommentSubjectChar"/>
    <w:uiPriority w:val="99"/>
    <w:semiHidden/>
    <w:unhideWhenUsed/>
    <w:rsid w:val="00137489"/>
    <w:rPr>
      <w:b/>
      <w:bCs/>
    </w:rPr>
  </w:style>
  <w:style w:type="character" w:customStyle="1" w:styleId="CommentSubjectChar">
    <w:name w:val="Comment Subject Char"/>
    <w:basedOn w:val="CommentTextChar"/>
    <w:link w:val="CommentSubject"/>
    <w:uiPriority w:val="99"/>
    <w:semiHidden/>
    <w:rsid w:val="00137489"/>
    <w:rPr>
      <w:b/>
      <w:bCs/>
      <w:sz w:val="20"/>
      <w:szCs w:val="20"/>
      <w:lang w:val="en-AU"/>
    </w:rPr>
  </w:style>
  <w:style w:type="character" w:styleId="Hyperlink">
    <w:name w:val="Hyperlink"/>
    <w:basedOn w:val="DefaultParagraphFont"/>
    <w:uiPriority w:val="99"/>
    <w:unhideWhenUsed/>
    <w:rsid w:val="00F774E1"/>
    <w:rPr>
      <w:color w:val="0000FF" w:themeColor="hyperlink"/>
      <w:u w:val="single"/>
    </w:rPr>
  </w:style>
  <w:style w:type="character" w:styleId="FollowedHyperlink">
    <w:name w:val="FollowedHyperlink"/>
    <w:basedOn w:val="DefaultParagraphFont"/>
    <w:uiPriority w:val="99"/>
    <w:semiHidden/>
    <w:unhideWhenUsed/>
    <w:rsid w:val="00F774E1"/>
    <w:rPr>
      <w:color w:val="800080" w:themeColor="followedHyperlink"/>
      <w:u w:val="single"/>
    </w:rPr>
  </w:style>
  <w:style w:type="character" w:styleId="Strong">
    <w:name w:val="Strong"/>
    <w:basedOn w:val="DefaultParagraphFont"/>
    <w:uiPriority w:val="22"/>
    <w:qFormat/>
    <w:rsid w:val="00F774E1"/>
    <w:rPr>
      <w:b/>
      <w:bCs/>
    </w:rPr>
  </w:style>
  <w:style w:type="character" w:customStyle="1" w:styleId="Heading1Char">
    <w:name w:val="Heading 1 Char"/>
    <w:basedOn w:val="DefaultParagraphFont"/>
    <w:link w:val="Heading1"/>
    <w:uiPriority w:val="9"/>
    <w:rsid w:val="00EB1056"/>
    <w:rPr>
      <w:rFonts w:asciiTheme="majorHAnsi" w:eastAsiaTheme="majorEastAsia" w:hAnsiTheme="majorHAnsi" w:cstheme="majorBidi"/>
      <w:b/>
      <w:bCs/>
      <w:color w:val="345A8A" w:themeColor="accent1" w:themeShade="B5"/>
      <w:sz w:val="32"/>
      <w:szCs w:val="32"/>
      <w:lang w:val="de-DE" w:eastAsia="de-DE"/>
    </w:rPr>
  </w:style>
  <w:style w:type="paragraph" w:customStyle="1" w:styleId="ICMENormal">
    <w:name w:val="ICME Normal"/>
    <w:qFormat/>
    <w:rsid w:val="00AF153C"/>
    <w:pPr>
      <w:spacing w:after="120" w:line="320" w:lineRule="atLeast"/>
      <w:jc w:val="both"/>
    </w:pPr>
    <w:rPr>
      <w:rFonts w:ascii="Times New Roman" w:hAnsi="Times New Roman"/>
      <w:sz w:val="24"/>
      <w:szCs w:val="28"/>
      <w:lang w:eastAsia="de-DE"/>
    </w:rPr>
  </w:style>
  <w:style w:type="paragraph" w:customStyle="1" w:styleId="ICMEAbstract">
    <w:name w:val="ICME Abstract"/>
    <w:basedOn w:val="ICMENormal"/>
    <w:qFormat/>
    <w:rsid w:val="00AF153C"/>
    <w:pPr>
      <w:spacing w:after="240"/>
    </w:pPr>
    <w:rPr>
      <w:i/>
    </w:rPr>
  </w:style>
  <w:style w:type="paragraph" w:customStyle="1" w:styleId="ICMEAuthorInstitution">
    <w:name w:val="ICME Author/Institution"/>
    <w:basedOn w:val="ICMENormal"/>
    <w:qFormat/>
    <w:rsid w:val="00AF153C"/>
    <w:pPr>
      <w:jc w:val="center"/>
    </w:pPr>
  </w:style>
  <w:style w:type="paragraph" w:customStyle="1" w:styleId="ICMEBaselineFirstPage">
    <w:name w:val="ICME Baseline First Page"/>
    <w:basedOn w:val="ICMENormal"/>
    <w:qFormat/>
    <w:rsid w:val="00AF153C"/>
    <w:pPr>
      <w:spacing w:after="0" w:line="240" w:lineRule="auto"/>
    </w:pPr>
    <w:rPr>
      <w:sz w:val="21"/>
      <w:szCs w:val="21"/>
    </w:rPr>
  </w:style>
  <w:style w:type="paragraph" w:customStyle="1" w:styleId="PMEFigTitle">
    <w:name w:val="PME Fig Title"/>
    <w:basedOn w:val="ICMENormal"/>
    <w:next w:val="ICMENormal"/>
    <w:rsid w:val="00AF153C"/>
    <w:pPr>
      <w:spacing w:before="120"/>
      <w:jc w:val="center"/>
    </w:pPr>
  </w:style>
  <w:style w:type="paragraph" w:customStyle="1" w:styleId="ICMEFigTitle">
    <w:name w:val="ICME Fig Title"/>
    <w:basedOn w:val="PMEFigTitle"/>
    <w:qFormat/>
    <w:rsid w:val="00AF153C"/>
  </w:style>
  <w:style w:type="paragraph" w:customStyle="1" w:styleId="ICMEHeading1">
    <w:name w:val="ICME Heading 1"/>
    <w:basedOn w:val="ICMENormal"/>
    <w:qFormat/>
    <w:rsid w:val="00AF153C"/>
    <w:pPr>
      <w:keepNext/>
      <w:spacing w:before="120"/>
      <w:jc w:val="center"/>
      <w:outlineLvl w:val="0"/>
    </w:pPr>
    <w:rPr>
      <w:b/>
      <w:bCs/>
      <w:caps/>
      <w:sz w:val="28"/>
      <w:szCs w:val="32"/>
    </w:rPr>
  </w:style>
  <w:style w:type="paragraph" w:customStyle="1" w:styleId="ICMEHeading2">
    <w:name w:val="ICME Heading 2"/>
    <w:basedOn w:val="Normal"/>
    <w:qFormat/>
    <w:rsid w:val="00AF153C"/>
    <w:pPr>
      <w:keepNext/>
      <w:spacing w:before="120"/>
      <w:outlineLvl w:val="1"/>
    </w:pPr>
    <w:rPr>
      <w:b/>
      <w:bCs/>
      <w:caps/>
      <w:kern w:val="28"/>
      <w:sz w:val="24"/>
    </w:rPr>
  </w:style>
  <w:style w:type="paragraph" w:customStyle="1" w:styleId="ICMEHeading3">
    <w:name w:val="ICME Heading 3"/>
    <w:basedOn w:val="Normal"/>
    <w:qFormat/>
    <w:rsid w:val="00AF153C"/>
    <w:pPr>
      <w:keepNext/>
      <w:outlineLvl w:val="2"/>
    </w:pPr>
    <w:rPr>
      <w:b/>
      <w:sz w:val="24"/>
    </w:rPr>
  </w:style>
  <w:style w:type="paragraph" w:customStyle="1" w:styleId="ICMEHeadline">
    <w:name w:val="ICME Headline"/>
    <w:basedOn w:val="Normal"/>
    <w:rsid w:val="00AF153C"/>
    <w:rPr>
      <w:i/>
    </w:rPr>
  </w:style>
  <w:style w:type="paragraph" w:customStyle="1" w:styleId="ICMENumberedTranscript">
    <w:name w:val="ICME Numbered Transcript"/>
    <w:basedOn w:val="ICMENormal"/>
    <w:qFormat/>
    <w:rsid w:val="00AF153C"/>
    <w:pPr>
      <w:tabs>
        <w:tab w:val="left" w:pos="992"/>
      </w:tabs>
      <w:spacing w:line="260" w:lineRule="atLeast"/>
      <w:ind w:left="1843" w:hanging="1440"/>
    </w:pPr>
  </w:style>
  <w:style w:type="paragraph" w:customStyle="1" w:styleId="ICMEQuote">
    <w:name w:val="ICME Quote"/>
    <w:basedOn w:val="ICMENormal"/>
    <w:next w:val="ICMENormal"/>
    <w:qFormat/>
    <w:rsid w:val="00AF153C"/>
    <w:pPr>
      <w:spacing w:line="260" w:lineRule="atLeast"/>
      <w:ind w:left="289"/>
    </w:pPr>
    <w:rPr>
      <w:sz w:val="22"/>
      <w:szCs w:val="26"/>
    </w:rPr>
  </w:style>
  <w:style w:type="paragraph" w:customStyle="1" w:styleId="ICMEReferences">
    <w:name w:val="ICME References"/>
    <w:basedOn w:val="ICMENormal"/>
    <w:qFormat/>
    <w:rsid w:val="00AF153C"/>
    <w:pPr>
      <w:spacing w:line="260" w:lineRule="atLeast"/>
      <w:ind w:left="289" w:hanging="289"/>
    </w:pPr>
    <w:rPr>
      <w:sz w:val="22"/>
      <w:szCs w:val="26"/>
    </w:rPr>
  </w:style>
  <w:style w:type="paragraph" w:customStyle="1" w:styleId="ICMETranscript">
    <w:name w:val="ICME Transcript"/>
    <w:basedOn w:val="ICMENormal"/>
    <w:qFormat/>
    <w:rsid w:val="00AF153C"/>
    <w:pPr>
      <w:spacing w:line="260" w:lineRule="atLeast"/>
      <w:ind w:left="1843" w:hanging="1440"/>
    </w:pPr>
    <w:rPr>
      <w:sz w:val="22"/>
      <w:szCs w:val="26"/>
    </w:rPr>
  </w:style>
  <w:style w:type="paragraph" w:customStyle="1" w:styleId="PMEBaseline">
    <w:name w:val="PME Baseline"/>
    <w:basedOn w:val="ICMENormal"/>
    <w:rsid w:val="00AF153C"/>
    <w:pPr>
      <w:tabs>
        <w:tab w:val="right" w:pos="9639"/>
      </w:tabs>
    </w:pPr>
  </w:style>
  <w:style w:type="paragraph" w:customStyle="1" w:styleId="PMEBullet">
    <w:name w:val="PME Bullet"/>
    <w:basedOn w:val="ICMENormal"/>
    <w:rsid w:val="00AF153C"/>
    <w:pPr>
      <w:numPr>
        <w:numId w:val="17"/>
      </w:numPr>
      <w:spacing w:after="0"/>
    </w:pPr>
  </w:style>
  <w:style w:type="table" w:styleId="TableGrid">
    <w:name w:val="Table Grid"/>
    <w:basedOn w:val="TableNormal"/>
    <w:uiPriority w:val="59"/>
    <w:rsid w:val="00EB1056"/>
    <w:pPr>
      <w:spacing w:after="0" w:line="240" w:lineRule="auto"/>
    </w:pPr>
    <w:rPr>
      <w:rFonts w:ascii="Times New Roman" w:hAnsi="Times New Roman"/>
      <w:sz w:val="28"/>
      <w:szCs w:val="28"/>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F630F"/>
    <w:pPr>
      <w:numPr>
        <w:numId w:val="12"/>
      </w:numPr>
    </w:pPr>
  </w:style>
  <w:style w:type="character" w:customStyle="1" w:styleId="apple-converted-space">
    <w:name w:val="apple-converted-space"/>
    <w:basedOn w:val="DefaultParagraphFont"/>
    <w:rsid w:val="00FE6E57"/>
  </w:style>
  <w:style w:type="paragraph" w:styleId="NormalWeb">
    <w:name w:val="Normal (Web)"/>
    <w:basedOn w:val="Normal"/>
    <w:uiPriority w:val="99"/>
    <w:semiHidden/>
    <w:unhideWhenUsed/>
    <w:rsid w:val="00827F1A"/>
    <w:pPr>
      <w:spacing w:before="100" w:beforeAutospacing="1" w:after="100" w:afterAutospacing="1" w:line="240" w:lineRule="auto"/>
      <w:jc w:val="left"/>
    </w:pPr>
    <w:rPr>
      <w:rFonts w:eastAsia="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351498229">
      <w:bodyDiv w:val="1"/>
      <w:marLeft w:val="0"/>
      <w:marRight w:val="0"/>
      <w:marTop w:val="0"/>
      <w:marBottom w:val="0"/>
      <w:divBdr>
        <w:top w:val="none" w:sz="0" w:space="0" w:color="auto"/>
        <w:left w:val="none" w:sz="0" w:space="0" w:color="auto"/>
        <w:bottom w:val="none" w:sz="0" w:space="0" w:color="auto"/>
        <w:right w:val="none" w:sz="0" w:space="0" w:color="auto"/>
      </w:divBdr>
    </w:div>
    <w:div w:id="425421506">
      <w:bodyDiv w:val="1"/>
      <w:marLeft w:val="0"/>
      <w:marRight w:val="0"/>
      <w:marTop w:val="0"/>
      <w:marBottom w:val="0"/>
      <w:divBdr>
        <w:top w:val="none" w:sz="0" w:space="0" w:color="auto"/>
        <w:left w:val="none" w:sz="0" w:space="0" w:color="auto"/>
        <w:bottom w:val="none" w:sz="0" w:space="0" w:color="auto"/>
        <w:right w:val="none" w:sz="0" w:space="0" w:color="auto"/>
      </w:divBdr>
    </w:div>
    <w:div w:id="803426995">
      <w:bodyDiv w:val="1"/>
      <w:marLeft w:val="0"/>
      <w:marRight w:val="0"/>
      <w:marTop w:val="0"/>
      <w:marBottom w:val="0"/>
      <w:divBdr>
        <w:top w:val="none" w:sz="0" w:space="0" w:color="auto"/>
        <w:left w:val="none" w:sz="0" w:space="0" w:color="auto"/>
        <w:bottom w:val="none" w:sz="0" w:space="0" w:color="auto"/>
        <w:right w:val="none" w:sz="0" w:space="0" w:color="auto"/>
      </w:divBdr>
    </w:div>
    <w:div w:id="812253210">
      <w:bodyDiv w:val="1"/>
      <w:marLeft w:val="0"/>
      <w:marRight w:val="0"/>
      <w:marTop w:val="0"/>
      <w:marBottom w:val="0"/>
      <w:divBdr>
        <w:top w:val="none" w:sz="0" w:space="0" w:color="auto"/>
        <w:left w:val="none" w:sz="0" w:space="0" w:color="auto"/>
        <w:bottom w:val="none" w:sz="0" w:space="0" w:color="auto"/>
        <w:right w:val="none" w:sz="0" w:space="0" w:color="auto"/>
      </w:divBdr>
    </w:div>
    <w:div w:id="1065563245">
      <w:bodyDiv w:val="1"/>
      <w:marLeft w:val="0"/>
      <w:marRight w:val="0"/>
      <w:marTop w:val="0"/>
      <w:marBottom w:val="0"/>
      <w:divBdr>
        <w:top w:val="none" w:sz="0" w:space="0" w:color="auto"/>
        <w:left w:val="none" w:sz="0" w:space="0" w:color="auto"/>
        <w:bottom w:val="none" w:sz="0" w:space="0" w:color="auto"/>
        <w:right w:val="none" w:sz="0" w:space="0" w:color="auto"/>
      </w:divBdr>
      <w:divsChild>
        <w:div w:id="818814516">
          <w:marLeft w:val="0"/>
          <w:marRight w:val="0"/>
          <w:marTop w:val="0"/>
          <w:marBottom w:val="0"/>
          <w:divBdr>
            <w:top w:val="none" w:sz="0" w:space="0" w:color="auto"/>
            <w:left w:val="none" w:sz="0" w:space="0" w:color="auto"/>
            <w:bottom w:val="none" w:sz="0" w:space="0" w:color="auto"/>
            <w:right w:val="none" w:sz="0" w:space="0" w:color="auto"/>
          </w:divBdr>
          <w:divsChild>
            <w:div w:id="2140880808">
              <w:marLeft w:val="0"/>
              <w:marRight w:val="0"/>
              <w:marTop w:val="0"/>
              <w:marBottom w:val="0"/>
              <w:divBdr>
                <w:top w:val="none" w:sz="0" w:space="0" w:color="auto"/>
                <w:left w:val="none" w:sz="0" w:space="0" w:color="auto"/>
                <w:bottom w:val="none" w:sz="0" w:space="0" w:color="auto"/>
                <w:right w:val="none" w:sz="0" w:space="0" w:color="auto"/>
              </w:divBdr>
              <w:divsChild>
                <w:div w:id="749156756">
                  <w:marLeft w:val="0"/>
                  <w:marRight w:val="0"/>
                  <w:marTop w:val="0"/>
                  <w:marBottom w:val="0"/>
                  <w:divBdr>
                    <w:top w:val="none" w:sz="0" w:space="0" w:color="auto"/>
                    <w:left w:val="none" w:sz="0" w:space="0" w:color="auto"/>
                    <w:bottom w:val="none" w:sz="0" w:space="0" w:color="auto"/>
                    <w:right w:val="none" w:sz="0" w:space="0" w:color="auto"/>
                  </w:divBdr>
                  <w:divsChild>
                    <w:div w:id="19193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77326">
      <w:bodyDiv w:val="1"/>
      <w:marLeft w:val="0"/>
      <w:marRight w:val="0"/>
      <w:marTop w:val="0"/>
      <w:marBottom w:val="0"/>
      <w:divBdr>
        <w:top w:val="none" w:sz="0" w:space="0" w:color="auto"/>
        <w:left w:val="none" w:sz="0" w:space="0" w:color="auto"/>
        <w:bottom w:val="none" w:sz="0" w:space="0" w:color="auto"/>
        <w:right w:val="none" w:sz="0" w:space="0" w:color="auto"/>
      </w:divBdr>
      <w:divsChild>
        <w:div w:id="2018650751">
          <w:marLeft w:val="547"/>
          <w:marRight w:val="0"/>
          <w:marTop w:val="115"/>
          <w:marBottom w:val="0"/>
          <w:divBdr>
            <w:top w:val="none" w:sz="0" w:space="0" w:color="auto"/>
            <w:left w:val="none" w:sz="0" w:space="0" w:color="auto"/>
            <w:bottom w:val="none" w:sz="0" w:space="0" w:color="auto"/>
            <w:right w:val="none" w:sz="0" w:space="0" w:color="auto"/>
          </w:divBdr>
        </w:div>
        <w:div w:id="74866048">
          <w:marLeft w:val="547"/>
          <w:marRight w:val="0"/>
          <w:marTop w:val="115"/>
          <w:marBottom w:val="0"/>
          <w:divBdr>
            <w:top w:val="none" w:sz="0" w:space="0" w:color="auto"/>
            <w:left w:val="none" w:sz="0" w:space="0" w:color="auto"/>
            <w:bottom w:val="none" w:sz="0" w:space="0" w:color="auto"/>
            <w:right w:val="none" w:sz="0" w:space="0" w:color="auto"/>
          </w:divBdr>
        </w:div>
        <w:div w:id="1788157384">
          <w:marLeft w:val="547"/>
          <w:marRight w:val="0"/>
          <w:marTop w:val="115"/>
          <w:marBottom w:val="0"/>
          <w:divBdr>
            <w:top w:val="none" w:sz="0" w:space="0" w:color="auto"/>
            <w:left w:val="none" w:sz="0" w:space="0" w:color="auto"/>
            <w:bottom w:val="none" w:sz="0" w:space="0" w:color="auto"/>
            <w:right w:val="none" w:sz="0" w:space="0" w:color="auto"/>
          </w:divBdr>
        </w:div>
        <w:div w:id="212694859">
          <w:marLeft w:val="547"/>
          <w:marRight w:val="0"/>
          <w:marTop w:val="115"/>
          <w:marBottom w:val="0"/>
          <w:divBdr>
            <w:top w:val="none" w:sz="0" w:space="0" w:color="auto"/>
            <w:left w:val="none" w:sz="0" w:space="0" w:color="auto"/>
            <w:bottom w:val="none" w:sz="0" w:space="0" w:color="auto"/>
            <w:right w:val="none" w:sz="0" w:space="0" w:color="auto"/>
          </w:divBdr>
        </w:div>
        <w:div w:id="788596438">
          <w:marLeft w:val="547"/>
          <w:marRight w:val="0"/>
          <w:marTop w:val="115"/>
          <w:marBottom w:val="0"/>
          <w:divBdr>
            <w:top w:val="none" w:sz="0" w:space="0" w:color="auto"/>
            <w:left w:val="none" w:sz="0" w:space="0" w:color="auto"/>
            <w:bottom w:val="none" w:sz="0" w:space="0" w:color="auto"/>
            <w:right w:val="none" w:sz="0" w:space="0" w:color="auto"/>
          </w:divBdr>
        </w:div>
      </w:divsChild>
    </w:div>
    <w:div w:id="1235824447">
      <w:bodyDiv w:val="1"/>
      <w:marLeft w:val="0"/>
      <w:marRight w:val="0"/>
      <w:marTop w:val="0"/>
      <w:marBottom w:val="0"/>
      <w:divBdr>
        <w:top w:val="none" w:sz="0" w:space="0" w:color="auto"/>
        <w:left w:val="none" w:sz="0" w:space="0" w:color="auto"/>
        <w:bottom w:val="none" w:sz="0" w:space="0" w:color="auto"/>
        <w:right w:val="none" w:sz="0" w:space="0" w:color="auto"/>
      </w:divBdr>
    </w:div>
    <w:div w:id="1445227963">
      <w:bodyDiv w:val="1"/>
      <w:marLeft w:val="0"/>
      <w:marRight w:val="0"/>
      <w:marTop w:val="0"/>
      <w:marBottom w:val="0"/>
      <w:divBdr>
        <w:top w:val="none" w:sz="0" w:space="0" w:color="auto"/>
        <w:left w:val="none" w:sz="0" w:space="0" w:color="auto"/>
        <w:bottom w:val="none" w:sz="0" w:space="0" w:color="auto"/>
        <w:right w:val="none" w:sz="0" w:space="0" w:color="auto"/>
      </w:divBdr>
    </w:div>
    <w:div w:id="1506896449">
      <w:bodyDiv w:val="1"/>
      <w:marLeft w:val="0"/>
      <w:marRight w:val="0"/>
      <w:marTop w:val="0"/>
      <w:marBottom w:val="0"/>
      <w:divBdr>
        <w:top w:val="none" w:sz="0" w:space="0" w:color="auto"/>
        <w:left w:val="none" w:sz="0" w:space="0" w:color="auto"/>
        <w:bottom w:val="none" w:sz="0" w:space="0" w:color="auto"/>
        <w:right w:val="none" w:sz="0" w:space="0" w:color="auto"/>
      </w:divBdr>
    </w:div>
    <w:div w:id="1835682474">
      <w:bodyDiv w:val="1"/>
      <w:marLeft w:val="0"/>
      <w:marRight w:val="0"/>
      <w:marTop w:val="0"/>
      <w:marBottom w:val="0"/>
      <w:divBdr>
        <w:top w:val="none" w:sz="0" w:space="0" w:color="auto"/>
        <w:left w:val="none" w:sz="0" w:space="0" w:color="auto"/>
        <w:bottom w:val="none" w:sz="0" w:space="0" w:color="auto"/>
        <w:right w:val="none" w:sz="0" w:space="0" w:color="auto"/>
      </w:divBdr>
      <w:divsChild>
        <w:div w:id="1234317571">
          <w:marLeft w:val="547"/>
          <w:marRight w:val="0"/>
          <w:marTop w:val="96"/>
          <w:marBottom w:val="0"/>
          <w:divBdr>
            <w:top w:val="none" w:sz="0" w:space="0" w:color="auto"/>
            <w:left w:val="none" w:sz="0" w:space="0" w:color="auto"/>
            <w:bottom w:val="none" w:sz="0" w:space="0" w:color="auto"/>
            <w:right w:val="none" w:sz="0" w:space="0" w:color="auto"/>
          </w:divBdr>
        </w:div>
        <w:div w:id="333189748">
          <w:marLeft w:val="547"/>
          <w:marRight w:val="0"/>
          <w:marTop w:val="96"/>
          <w:marBottom w:val="0"/>
          <w:divBdr>
            <w:top w:val="none" w:sz="0" w:space="0" w:color="auto"/>
            <w:left w:val="none" w:sz="0" w:space="0" w:color="auto"/>
            <w:bottom w:val="none" w:sz="0" w:space="0" w:color="auto"/>
            <w:right w:val="none" w:sz="0" w:space="0" w:color="auto"/>
          </w:divBdr>
        </w:div>
        <w:div w:id="2034916261">
          <w:marLeft w:val="547"/>
          <w:marRight w:val="0"/>
          <w:marTop w:val="96"/>
          <w:marBottom w:val="0"/>
          <w:divBdr>
            <w:top w:val="none" w:sz="0" w:space="0" w:color="auto"/>
            <w:left w:val="none" w:sz="0" w:space="0" w:color="auto"/>
            <w:bottom w:val="none" w:sz="0" w:space="0" w:color="auto"/>
            <w:right w:val="none" w:sz="0" w:space="0" w:color="auto"/>
          </w:divBdr>
        </w:div>
      </w:divsChild>
    </w:div>
    <w:div w:id="1921060521">
      <w:bodyDiv w:val="1"/>
      <w:marLeft w:val="0"/>
      <w:marRight w:val="0"/>
      <w:marTop w:val="0"/>
      <w:marBottom w:val="0"/>
      <w:divBdr>
        <w:top w:val="none" w:sz="0" w:space="0" w:color="auto"/>
        <w:left w:val="none" w:sz="0" w:space="0" w:color="auto"/>
        <w:bottom w:val="none" w:sz="0" w:space="0" w:color="auto"/>
        <w:right w:val="none" w:sz="0" w:space="0" w:color="auto"/>
      </w:divBdr>
    </w:div>
    <w:div w:id="20319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skills/skills-matter-9789264258051-en.htm"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oecd.org/site/piaac/" TargetMode="External"/><Relationship Id="rId12" Type="http://schemas.openxmlformats.org/officeDocument/2006/relationships/hyperlink" Target="http://journals.msvu.ca/ocs/index.php/casae2014/CASAE14/paper/viewFile/25/4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lightonpoverty.org/spotlight-exclusives/adult-basic-skills-programs-a-crucial-tool-in-fighting-povert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gentaconnect.com/content/routledg/tedp"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www.oecd.org/officialdocuments/displaydocumentpdf?cote=edu/wkp(2009)14&amp;doclanguage=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5222</Words>
  <Characters>29768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34921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Keiko</dc:creator>
  <cp:lastModifiedBy>Paul Ernest</cp:lastModifiedBy>
  <cp:revision>4</cp:revision>
  <cp:lastPrinted>2016-09-06T19:47:00Z</cp:lastPrinted>
  <dcterms:created xsi:type="dcterms:W3CDTF">2016-10-05T17:46:00Z</dcterms:created>
  <dcterms:modified xsi:type="dcterms:W3CDTF">2016-10-09T17:56:00Z</dcterms:modified>
</cp:coreProperties>
</file>